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81DBC" w14:textId="4C498020" w:rsidR="00E91839" w:rsidRPr="00993785" w:rsidRDefault="00822E3B" w:rsidP="00EA3155">
      <w:pPr>
        <w:spacing w:line="480" w:lineRule="auto"/>
        <w:jc w:val="both"/>
        <w:outlineLvl w:val="0"/>
        <w:rPr>
          <w:rFonts w:ascii="Garamond" w:eastAsia="Times New Roman" w:hAnsi="Garamond" w:cs="Times New Roman"/>
          <w:sz w:val="28"/>
          <w:szCs w:val="28"/>
        </w:rPr>
      </w:pPr>
      <w:r w:rsidRPr="00993785">
        <w:rPr>
          <w:rFonts w:ascii="Garamond" w:eastAsia="Garamond" w:hAnsi="Garamond" w:cs="Garamond"/>
          <w:b/>
          <w:color w:val="000000"/>
          <w:sz w:val="28"/>
          <w:szCs w:val="28"/>
        </w:rPr>
        <w:t>We Should Widen Access to Physician-Assisted Death</w:t>
      </w:r>
    </w:p>
    <w:p w14:paraId="1F48CF83" w14:textId="77777777" w:rsidR="00DB3401" w:rsidRDefault="00DB3401" w:rsidP="00DB3401">
      <w:pPr>
        <w:rPr>
          <w:rFonts w:ascii="Garamond" w:eastAsia="Times New Roman" w:hAnsi="Garamond" w:cs="Times New Roman"/>
        </w:rPr>
      </w:pPr>
      <w:r>
        <w:rPr>
          <w:rFonts w:ascii="Garamond" w:eastAsia="Times New Roman" w:hAnsi="Garamond" w:cs="Times New Roman"/>
        </w:rPr>
        <w:t>Jordan MacKenzie</w:t>
      </w:r>
    </w:p>
    <w:p w14:paraId="0258E175" w14:textId="26275B25" w:rsidR="00DB3401" w:rsidRDefault="00DB3401" w:rsidP="00DB3401">
      <w:pPr>
        <w:rPr>
          <w:rFonts w:ascii="Garamond" w:eastAsia="Times New Roman" w:hAnsi="Garamond" w:cs="Times New Roman"/>
        </w:rPr>
      </w:pPr>
      <w:r>
        <w:rPr>
          <w:rFonts w:ascii="Garamond" w:eastAsia="Times New Roman" w:hAnsi="Garamond" w:cs="Times New Roman"/>
        </w:rPr>
        <w:t>Department of Philosophy, Virginia Tech, Blacksburg, VA, United States</w:t>
      </w:r>
    </w:p>
    <w:p w14:paraId="5B73AB85" w14:textId="53F08D69" w:rsidR="00DB3401" w:rsidRDefault="00DB3401" w:rsidP="00DB3401">
      <w:pPr>
        <w:rPr>
          <w:rFonts w:ascii="Garamond" w:eastAsia="Times New Roman" w:hAnsi="Garamond" w:cs="Times New Roman"/>
        </w:rPr>
      </w:pPr>
      <w:r w:rsidRPr="00DB3401">
        <w:rPr>
          <w:rFonts w:ascii="Garamond" w:eastAsia="Times New Roman" w:hAnsi="Garamond" w:cs="Times New Roman"/>
        </w:rPr>
        <w:t>jmackenzie@vt.edu</w:t>
      </w:r>
    </w:p>
    <w:p w14:paraId="489032F1" w14:textId="77777777" w:rsidR="00DB3401" w:rsidRDefault="00DB3401" w:rsidP="00DB3401">
      <w:pPr>
        <w:rPr>
          <w:rFonts w:ascii="Garamond" w:eastAsia="Times New Roman" w:hAnsi="Garamond" w:cs="Times New Roman"/>
        </w:rPr>
      </w:pPr>
    </w:p>
    <w:p w14:paraId="647E7683" w14:textId="67CA70B4" w:rsidR="00DB3401" w:rsidRDefault="00DB3401" w:rsidP="00DB3401">
      <w:pPr>
        <w:rPr>
          <w:rFonts w:ascii="Garamond" w:eastAsia="Times New Roman" w:hAnsi="Garamond" w:cs="Times New Roman"/>
        </w:rPr>
      </w:pPr>
      <w:r>
        <w:rPr>
          <w:rFonts w:ascii="Garamond" w:eastAsia="Times New Roman" w:hAnsi="Garamond" w:cs="Times New Roman"/>
        </w:rPr>
        <w:t>Adam Lerner</w:t>
      </w:r>
      <w:r w:rsidR="000D5CE8">
        <w:rPr>
          <w:rStyle w:val="FootnoteReference"/>
          <w:rFonts w:ascii="Garamond" w:eastAsia="Times New Roman" w:hAnsi="Garamond" w:cs="Times New Roman"/>
        </w:rPr>
        <w:footnoteReference w:id="1"/>
      </w:r>
    </w:p>
    <w:p w14:paraId="34339AF5" w14:textId="3B4464B0" w:rsidR="009A0E8D" w:rsidRDefault="009A0E8D" w:rsidP="00DB3401">
      <w:pPr>
        <w:rPr>
          <w:rFonts w:ascii="Garamond" w:eastAsia="Times New Roman" w:hAnsi="Garamond" w:cs="Times New Roman"/>
        </w:rPr>
      </w:pPr>
      <w:r>
        <w:rPr>
          <w:rFonts w:ascii="Garamond" w:eastAsia="Times New Roman" w:hAnsi="Garamond" w:cs="Times New Roman"/>
        </w:rPr>
        <w:t>Department of Philosophy, Princeton University, Prince</w:t>
      </w:r>
      <w:r w:rsidR="004A3F20">
        <w:rPr>
          <w:rFonts w:ascii="Garamond" w:eastAsia="Times New Roman" w:hAnsi="Garamond" w:cs="Times New Roman"/>
        </w:rPr>
        <w:t>to</w:t>
      </w:r>
      <w:r>
        <w:rPr>
          <w:rFonts w:ascii="Garamond" w:eastAsia="Times New Roman" w:hAnsi="Garamond" w:cs="Times New Roman"/>
        </w:rPr>
        <w:t>n, NJ, United States</w:t>
      </w:r>
    </w:p>
    <w:p w14:paraId="2FCBCD91" w14:textId="224D30F9" w:rsidR="009A0E8D" w:rsidRDefault="009A0E8D" w:rsidP="00DB3401">
      <w:pPr>
        <w:rPr>
          <w:rFonts w:ascii="Garamond" w:eastAsia="Times New Roman" w:hAnsi="Garamond" w:cs="Times New Roman"/>
        </w:rPr>
      </w:pPr>
      <w:r>
        <w:rPr>
          <w:rFonts w:ascii="Garamond" w:eastAsia="Times New Roman" w:hAnsi="Garamond" w:cs="Times New Roman"/>
        </w:rPr>
        <w:t>adamjl@princeton.edu</w:t>
      </w:r>
    </w:p>
    <w:p w14:paraId="4A89910E" w14:textId="6D0AE11A" w:rsidR="00DB3401" w:rsidRDefault="00DB3401" w:rsidP="00DB3401">
      <w:pPr>
        <w:rPr>
          <w:rFonts w:ascii="Garamond" w:hAnsi="Garamond"/>
          <w:b/>
        </w:rPr>
      </w:pPr>
    </w:p>
    <w:p w14:paraId="6DEA69A3" w14:textId="77777777" w:rsidR="00DB3401" w:rsidRDefault="00DB3401" w:rsidP="00DB3401">
      <w:pPr>
        <w:rPr>
          <w:rFonts w:ascii="Garamond" w:hAnsi="Garamond"/>
          <w:b/>
        </w:rPr>
      </w:pPr>
    </w:p>
    <w:p w14:paraId="1ADB71B3" w14:textId="1A8EA8B2" w:rsidR="00DB3401" w:rsidRDefault="00DB3401" w:rsidP="00DB3401">
      <w:pPr>
        <w:rPr>
          <w:rFonts w:ascii="Garamond" w:hAnsi="Garamond"/>
          <w:b/>
        </w:rPr>
      </w:pPr>
      <w:r>
        <w:rPr>
          <w:rFonts w:ascii="Garamond" w:hAnsi="Garamond"/>
          <w:b/>
        </w:rPr>
        <w:t>Abstract:</w:t>
      </w:r>
    </w:p>
    <w:p w14:paraId="6FA596DF" w14:textId="77777777" w:rsidR="00DB3401" w:rsidRDefault="00DB3401" w:rsidP="00DB3401">
      <w:pPr>
        <w:rPr>
          <w:rFonts w:ascii="Garamond" w:hAnsi="Garamond"/>
          <w:b/>
        </w:rPr>
      </w:pPr>
    </w:p>
    <w:p w14:paraId="3E99E7B7" w14:textId="1EE3E281" w:rsidR="00DB3401" w:rsidRDefault="00DB3401" w:rsidP="00DB3401">
      <w:pPr>
        <w:jc w:val="both"/>
        <w:rPr>
          <w:rFonts w:ascii="Garamond" w:hAnsi="Garamond"/>
          <w:color w:val="000000"/>
        </w:rPr>
      </w:pPr>
      <w:r>
        <w:rPr>
          <w:rFonts w:ascii="Garamond" w:eastAsia="Garamond" w:hAnsi="Garamond" w:cs="Garamond"/>
          <w:color w:val="000000"/>
        </w:rPr>
        <w:t xml:space="preserve">Typical philosophical discussions of </w:t>
      </w:r>
      <w:r w:rsidR="000D7002">
        <w:rPr>
          <w:rFonts w:ascii="Garamond" w:eastAsia="Garamond" w:hAnsi="Garamond" w:cs="Garamond"/>
          <w:color w:val="000000"/>
        </w:rPr>
        <w:t>physician-assisted death (“</w:t>
      </w:r>
      <w:r>
        <w:rPr>
          <w:rFonts w:ascii="Garamond" w:eastAsia="Garamond" w:hAnsi="Garamond" w:cs="Garamond"/>
          <w:color w:val="000000"/>
        </w:rPr>
        <w:t>PAD</w:t>
      </w:r>
      <w:r w:rsidR="000D7002">
        <w:rPr>
          <w:rFonts w:ascii="Garamond" w:eastAsia="Garamond" w:hAnsi="Garamond" w:cs="Garamond"/>
          <w:color w:val="000000"/>
        </w:rPr>
        <w:t>”)</w:t>
      </w:r>
      <w:r>
        <w:rPr>
          <w:rFonts w:ascii="Garamond" w:eastAsia="Garamond" w:hAnsi="Garamond" w:cs="Garamond"/>
          <w:color w:val="000000"/>
        </w:rPr>
        <w:t xml:space="preserve"> have focused on whether the practice </w:t>
      </w:r>
      <w:r w:rsidR="000D7002">
        <w:rPr>
          <w:rFonts w:ascii="Garamond" w:eastAsia="Garamond" w:hAnsi="Garamond" w:cs="Garamond"/>
          <w:color w:val="000000"/>
        </w:rPr>
        <w:t>can be</w:t>
      </w:r>
      <w:r>
        <w:rPr>
          <w:rFonts w:ascii="Garamond" w:eastAsia="Garamond" w:hAnsi="Garamond" w:cs="Garamond"/>
          <w:color w:val="000000"/>
        </w:rPr>
        <w:t xml:space="preserve"> permissible. We address a different question: assuming that PAD can be morally permissible, how far does that permission extend? </w:t>
      </w:r>
      <w:r w:rsidR="00427F2E">
        <w:rPr>
          <w:rFonts w:ascii="Garamond" w:eastAsia="Garamond" w:hAnsi="Garamond" w:cs="Garamond"/>
          <w:color w:val="000000"/>
        </w:rPr>
        <w:t>We will argue that</w:t>
      </w:r>
      <w:r w:rsidR="000D7002">
        <w:rPr>
          <w:rFonts w:ascii="Garamond" w:eastAsia="Garamond" w:hAnsi="Garamond" w:cs="Garamond"/>
          <w:color w:val="000000"/>
        </w:rPr>
        <w:t xml:space="preserve"> granting requests for PAD may be permissible even when the PAD recipient</w:t>
      </w:r>
      <w:r w:rsidR="00427F2E">
        <w:rPr>
          <w:rFonts w:ascii="Garamond" w:eastAsia="Garamond" w:hAnsi="Garamond" w:cs="Garamond"/>
          <w:color w:val="000000"/>
        </w:rPr>
        <w:t xml:space="preserve"> can no longer speak for themselves. </w:t>
      </w:r>
      <w:r>
        <w:rPr>
          <w:rFonts w:ascii="Garamond" w:eastAsia="Garamond" w:hAnsi="Garamond" w:cs="Garamond"/>
          <w:color w:val="000000"/>
        </w:rPr>
        <w:t xml:space="preserve">In particular, we argue against the ‘competency requirement’ that constrains PAD-eligibility to presently-competent patients in most countries that have legalized PAD. We think PAD on terminally ill, incapacitated patients can be morally permissible in cases when advance directives or suitable surrogate decision-makers are available, and should be legally permissible in such cases as well. We argue that this view should be accepted on pain of inconsistency: </w:t>
      </w:r>
      <w:r>
        <w:rPr>
          <w:rFonts w:ascii="Garamond" w:hAnsi="Garamond"/>
          <w:color w:val="000000"/>
        </w:rPr>
        <w:t xml:space="preserve">by allowing surrogate decision-makers to request withdrawal of life-sustaining </w:t>
      </w:r>
      <w:r w:rsidR="00C92D6B">
        <w:rPr>
          <w:rFonts w:ascii="Garamond" w:hAnsi="Garamond"/>
          <w:bCs/>
          <w:iCs/>
          <w:color w:val="000000"/>
        </w:rPr>
        <w:t>care</w:t>
      </w:r>
      <w:r w:rsidR="00C92D6B">
        <w:rPr>
          <w:rFonts w:ascii="Garamond" w:hAnsi="Garamond"/>
          <w:color w:val="000000"/>
        </w:rPr>
        <w:t xml:space="preserve"> </w:t>
      </w:r>
      <w:r>
        <w:rPr>
          <w:rFonts w:ascii="Garamond" w:hAnsi="Garamond"/>
          <w:color w:val="000000"/>
        </w:rPr>
        <w:t>on behalf of patients and by allowing patients to request PAD, we rule out any plausible justification for imposing a competency requirement on PAD</w:t>
      </w:r>
    </w:p>
    <w:p w14:paraId="315B3751" w14:textId="77777777" w:rsidR="00DB3401" w:rsidRDefault="00DB3401" w:rsidP="00DB3401">
      <w:pPr>
        <w:rPr>
          <w:rFonts w:ascii="Garamond" w:hAnsi="Garamond"/>
        </w:rPr>
      </w:pPr>
    </w:p>
    <w:p w14:paraId="1365DE1E" w14:textId="77777777" w:rsidR="00DB3401" w:rsidRDefault="00DB3401" w:rsidP="00DB3401">
      <w:pPr>
        <w:rPr>
          <w:rFonts w:ascii="Garamond" w:hAnsi="Garamond"/>
          <w:b/>
        </w:rPr>
      </w:pPr>
      <w:r>
        <w:rPr>
          <w:rFonts w:ascii="Garamond" w:hAnsi="Garamond"/>
          <w:b/>
        </w:rPr>
        <w:t>Keywords:</w:t>
      </w:r>
    </w:p>
    <w:p w14:paraId="4606E782" w14:textId="77777777" w:rsidR="00DB3401" w:rsidRDefault="00DB3401" w:rsidP="00DB3401">
      <w:pPr>
        <w:rPr>
          <w:rFonts w:ascii="Garamond" w:hAnsi="Garamond"/>
        </w:rPr>
      </w:pPr>
      <w:r>
        <w:rPr>
          <w:rFonts w:ascii="Garamond" w:hAnsi="Garamond"/>
        </w:rPr>
        <w:t>Autonomy, euthanasia, killing vs. letting die, physician-assisted death, surrogate decision-making</w:t>
      </w:r>
    </w:p>
    <w:p w14:paraId="2CE97DE7" w14:textId="11EC526D" w:rsidR="008B5E75" w:rsidRPr="00993785" w:rsidRDefault="008B5E75" w:rsidP="00DB3401">
      <w:pPr>
        <w:spacing w:line="480" w:lineRule="auto"/>
        <w:rPr>
          <w:rFonts w:ascii="Garamond" w:eastAsia="Times New Roman" w:hAnsi="Garamond" w:cs="Times New Roman"/>
        </w:rPr>
      </w:pPr>
    </w:p>
    <w:p w14:paraId="148FE122" w14:textId="77777777" w:rsidR="00E91839" w:rsidRPr="00993785" w:rsidRDefault="000D2237" w:rsidP="00EA3155">
      <w:pPr>
        <w:spacing w:line="480" w:lineRule="auto"/>
        <w:jc w:val="both"/>
        <w:outlineLvl w:val="0"/>
        <w:rPr>
          <w:rFonts w:ascii="Garamond" w:eastAsia="Times New Roman" w:hAnsi="Garamond" w:cs="Times New Roman"/>
        </w:rPr>
      </w:pPr>
      <w:r w:rsidRPr="00993785">
        <w:rPr>
          <w:rFonts w:ascii="Garamond" w:eastAsia="Garamond" w:hAnsi="Garamond" w:cs="Garamond"/>
          <w:b/>
          <w:color w:val="000000"/>
          <w:sz w:val="28"/>
          <w:szCs w:val="28"/>
        </w:rPr>
        <w:t>Introduction</w:t>
      </w:r>
    </w:p>
    <w:p w14:paraId="6EBCA380" w14:textId="7B5E871E" w:rsidR="00E91839" w:rsidRPr="00993785" w:rsidRDefault="000D2237" w:rsidP="00EA3155">
      <w:pPr>
        <w:spacing w:line="480" w:lineRule="auto"/>
        <w:jc w:val="both"/>
        <w:rPr>
          <w:rFonts w:ascii="Garamond" w:eastAsia="Garamond" w:hAnsi="Garamond" w:cs="Garamond"/>
          <w:color w:val="000000"/>
        </w:rPr>
      </w:pPr>
      <w:r w:rsidRPr="00993785">
        <w:rPr>
          <w:rFonts w:ascii="Garamond" w:eastAsia="Garamond" w:hAnsi="Garamond" w:cs="Garamond"/>
          <w:color w:val="000000"/>
        </w:rPr>
        <w:t xml:space="preserve">In October 2018, Audrey Parker, a Canadian woman with terminal metastatic breast cancer, requested </w:t>
      </w:r>
      <w:r w:rsidR="00843CB9" w:rsidRPr="00993785">
        <w:rPr>
          <w:rFonts w:ascii="Garamond" w:eastAsia="Garamond" w:hAnsi="Garamond" w:cs="Garamond"/>
          <w:color w:val="000000"/>
        </w:rPr>
        <w:t>physician-assisted death</w:t>
      </w:r>
      <w:r w:rsidRPr="00993785">
        <w:rPr>
          <w:rFonts w:ascii="Garamond" w:eastAsia="Garamond" w:hAnsi="Garamond" w:cs="Garamond"/>
          <w:color w:val="000000"/>
        </w:rPr>
        <w:t xml:space="preserve"> (“</w:t>
      </w:r>
      <w:r w:rsidR="00843CB9" w:rsidRPr="00993785">
        <w:rPr>
          <w:rFonts w:ascii="Garamond" w:eastAsia="Garamond" w:hAnsi="Garamond" w:cs="Garamond"/>
          <w:color w:val="000000"/>
        </w:rPr>
        <w:t>PAD</w:t>
      </w:r>
      <w:r w:rsidRPr="00993785">
        <w:rPr>
          <w:rFonts w:ascii="Garamond" w:eastAsia="Garamond" w:hAnsi="Garamond" w:cs="Garamond"/>
          <w:color w:val="000000"/>
        </w:rPr>
        <w:t>”). Her request came months before her predicted demise, but the law</w:t>
      </w:r>
      <w:r w:rsidRPr="00993785">
        <w:rPr>
          <w:rFonts w:ascii="Garamond" w:eastAsia="Garamond" w:hAnsi="Garamond" w:cs="Garamond"/>
        </w:rPr>
        <w:t xml:space="preserve"> forced </w:t>
      </w:r>
      <w:r w:rsidRPr="00993785">
        <w:rPr>
          <w:rFonts w:ascii="Garamond" w:eastAsia="Garamond" w:hAnsi="Garamond" w:cs="Garamond"/>
          <w:color w:val="000000"/>
        </w:rPr>
        <w:t xml:space="preserve">her hand. While Parker </w:t>
      </w:r>
      <w:r w:rsidR="00137DFE" w:rsidRPr="00993785">
        <w:rPr>
          <w:rFonts w:ascii="Garamond" w:eastAsia="Garamond" w:hAnsi="Garamond" w:cs="Garamond"/>
          <w:color w:val="000000"/>
        </w:rPr>
        <w:t xml:space="preserve">said that she </w:t>
      </w:r>
      <w:r w:rsidRPr="00993785">
        <w:rPr>
          <w:rFonts w:ascii="Garamond" w:eastAsia="Garamond" w:hAnsi="Garamond" w:cs="Garamond"/>
          <w:color w:val="000000"/>
        </w:rPr>
        <w:t xml:space="preserve">“would have liked </w:t>
      </w:r>
      <w:r w:rsidRPr="00993785">
        <w:rPr>
          <w:rFonts w:ascii="Garamond" w:eastAsia="Garamond" w:hAnsi="Garamond" w:cs="Garamond"/>
        </w:rPr>
        <w:t xml:space="preserve">to </w:t>
      </w:r>
      <w:r w:rsidRPr="00993785">
        <w:rPr>
          <w:rFonts w:ascii="Garamond" w:eastAsia="Garamond" w:hAnsi="Garamond" w:cs="Garamond"/>
          <w:color w:val="000000"/>
        </w:rPr>
        <w:t xml:space="preserve">have really lived until Christmas,” she decided to end her life </w:t>
      </w:r>
      <w:r w:rsidRPr="00993785">
        <w:rPr>
          <w:rFonts w:ascii="Garamond" w:eastAsia="Garamond" w:hAnsi="Garamond" w:cs="Garamond"/>
        </w:rPr>
        <w:t xml:space="preserve">in November </w:t>
      </w:r>
      <w:r w:rsidRPr="00993785">
        <w:rPr>
          <w:rFonts w:ascii="Garamond" w:eastAsia="Garamond" w:hAnsi="Garamond" w:cs="Garamond"/>
          <w:color w:val="000000"/>
        </w:rPr>
        <w:t xml:space="preserve">out of fear that she would soon become ineligible for </w:t>
      </w:r>
      <w:r w:rsidR="00843CB9" w:rsidRPr="00993785">
        <w:rPr>
          <w:rFonts w:ascii="Garamond" w:eastAsia="Garamond" w:hAnsi="Garamond" w:cs="Garamond"/>
          <w:color w:val="000000"/>
        </w:rPr>
        <w:t>PAD</w:t>
      </w:r>
      <w:r w:rsidRPr="00993785">
        <w:rPr>
          <w:rFonts w:ascii="Garamond" w:eastAsia="Garamond" w:hAnsi="Garamond" w:cs="Garamond"/>
          <w:color w:val="000000"/>
        </w:rPr>
        <w:t>.</w:t>
      </w:r>
      <w:r w:rsidRPr="00993785">
        <w:rPr>
          <w:rFonts w:ascii="Garamond" w:eastAsia="Garamond" w:hAnsi="Garamond" w:cs="Garamond"/>
          <w:color w:val="000000"/>
          <w:vertAlign w:val="superscript"/>
        </w:rPr>
        <w:footnoteReference w:id="2"/>
      </w:r>
      <w:r w:rsidRPr="00993785">
        <w:rPr>
          <w:rFonts w:ascii="Garamond" w:eastAsia="Garamond" w:hAnsi="Garamond" w:cs="Garamond"/>
          <w:color w:val="000000"/>
          <w:sz w:val="14"/>
          <w:szCs w:val="14"/>
          <w:vertAlign w:val="superscript"/>
        </w:rPr>
        <w:t xml:space="preserve"> </w:t>
      </w:r>
      <w:r w:rsidRPr="00993785">
        <w:rPr>
          <w:rFonts w:ascii="Garamond" w:eastAsia="Garamond" w:hAnsi="Garamond" w:cs="Garamond"/>
          <w:color w:val="000000"/>
        </w:rPr>
        <w:t xml:space="preserve"> </w:t>
      </w:r>
      <w:r w:rsidR="005043BB" w:rsidRPr="00993785">
        <w:rPr>
          <w:rFonts w:ascii="Garamond" w:eastAsia="Garamond" w:hAnsi="Garamond" w:cs="Garamond"/>
          <w:color w:val="000000"/>
        </w:rPr>
        <w:t xml:space="preserve">At the time, </w:t>
      </w:r>
      <w:r w:rsidRPr="00993785">
        <w:rPr>
          <w:rFonts w:ascii="Garamond" w:eastAsia="Garamond" w:hAnsi="Garamond" w:cs="Garamond"/>
          <w:color w:val="000000"/>
        </w:rPr>
        <w:t xml:space="preserve">Canada, along with </w:t>
      </w:r>
      <w:r w:rsidR="00C757A2" w:rsidRPr="00993785">
        <w:rPr>
          <w:rFonts w:ascii="Garamond" w:eastAsia="Garamond" w:hAnsi="Garamond" w:cs="Garamond"/>
          <w:color w:val="000000"/>
        </w:rPr>
        <w:t xml:space="preserve">nearly </w:t>
      </w:r>
      <w:r w:rsidRPr="00993785">
        <w:rPr>
          <w:rFonts w:ascii="Garamond" w:eastAsia="Garamond" w:hAnsi="Garamond" w:cs="Garamond"/>
          <w:color w:val="000000"/>
        </w:rPr>
        <w:t xml:space="preserve">every other country that has legalized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w:t>
      </w:r>
      <w:r w:rsidR="005043BB" w:rsidRPr="00993785">
        <w:rPr>
          <w:rFonts w:ascii="Garamond" w:eastAsia="Garamond" w:hAnsi="Garamond" w:cs="Garamond"/>
        </w:rPr>
        <w:t>had</w:t>
      </w:r>
      <w:r w:rsidR="005043BB" w:rsidRPr="00993785">
        <w:rPr>
          <w:rFonts w:ascii="Garamond" w:eastAsia="Garamond" w:hAnsi="Garamond" w:cs="Garamond"/>
          <w:color w:val="000000"/>
        </w:rPr>
        <w:t xml:space="preserve"> </w:t>
      </w:r>
      <w:r w:rsidRPr="00993785">
        <w:rPr>
          <w:rFonts w:ascii="Garamond" w:eastAsia="Garamond" w:hAnsi="Garamond" w:cs="Garamond"/>
          <w:color w:val="000000"/>
        </w:rPr>
        <w:t xml:space="preserve">a “competency </w:t>
      </w:r>
      <w:r w:rsidRPr="00993785">
        <w:rPr>
          <w:rFonts w:ascii="Garamond" w:eastAsia="Garamond" w:hAnsi="Garamond" w:cs="Garamond"/>
          <w:color w:val="000000"/>
        </w:rPr>
        <w:lastRenderedPageBreak/>
        <w:t>requirement”</w:t>
      </w:r>
      <w:r w:rsidR="00620F86" w:rsidRPr="00993785">
        <w:rPr>
          <w:rFonts w:ascii="Garamond" w:eastAsia="Garamond" w:hAnsi="Garamond" w:cs="Garamond"/>
          <w:color w:val="000000"/>
        </w:rPr>
        <w:t xml:space="preserve"> </w:t>
      </w:r>
      <w:r w:rsidR="00CC2BE0" w:rsidRPr="00993785">
        <w:rPr>
          <w:rFonts w:ascii="Garamond" w:eastAsia="Garamond" w:hAnsi="Garamond" w:cs="Garamond"/>
          <w:color w:val="000000"/>
        </w:rPr>
        <w:t xml:space="preserve">for </w:t>
      </w:r>
      <w:r w:rsidR="00843CB9" w:rsidRPr="00993785">
        <w:rPr>
          <w:rFonts w:ascii="Garamond" w:eastAsia="Garamond" w:hAnsi="Garamond" w:cs="Garamond"/>
          <w:color w:val="000000"/>
        </w:rPr>
        <w:t>PAD</w:t>
      </w:r>
      <w:r w:rsidRPr="00993785">
        <w:rPr>
          <w:rFonts w:ascii="Garamond" w:eastAsia="Garamond" w:hAnsi="Garamond" w:cs="Garamond"/>
        </w:rPr>
        <w:t>.</w:t>
      </w:r>
      <w:r w:rsidR="005043BB" w:rsidRPr="00993785">
        <w:rPr>
          <w:rStyle w:val="FootnoteReference"/>
          <w:rFonts w:ascii="Garamond" w:eastAsia="Garamond" w:hAnsi="Garamond" w:cs="Garamond"/>
        </w:rPr>
        <w:footnoteReference w:id="3"/>
      </w:r>
      <w:r w:rsidRPr="00993785">
        <w:rPr>
          <w:rFonts w:ascii="Garamond" w:eastAsia="Garamond" w:hAnsi="Garamond" w:cs="Garamond"/>
          <w:color w:val="000000"/>
        </w:rPr>
        <w:t xml:space="preserve"> </w:t>
      </w:r>
      <w:r w:rsidRPr="00993785">
        <w:rPr>
          <w:rFonts w:ascii="Garamond" w:eastAsia="Garamond" w:hAnsi="Garamond" w:cs="Garamond"/>
        </w:rPr>
        <w:t>A</w:t>
      </w:r>
      <w:r w:rsidRPr="00993785">
        <w:rPr>
          <w:rFonts w:ascii="Garamond" w:eastAsia="Garamond" w:hAnsi="Garamond" w:cs="Garamond"/>
          <w:color w:val="000000"/>
        </w:rPr>
        <w:t xml:space="preserve">ccording to this requirement, patients </w:t>
      </w:r>
      <w:r w:rsidR="005043BB" w:rsidRPr="00993785">
        <w:rPr>
          <w:rFonts w:ascii="Garamond" w:eastAsia="Garamond" w:hAnsi="Garamond" w:cs="Garamond"/>
          <w:color w:val="000000"/>
        </w:rPr>
        <w:t xml:space="preserve">had to </w:t>
      </w:r>
      <w:r w:rsidRPr="00993785">
        <w:rPr>
          <w:rFonts w:ascii="Garamond" w:eastAsia="Garamond" w:hAnsi="Garamond" w:cs="Garamond"/>
          <w:color w:val="000000"/>
        </w:rPr>
        <w:t>be competent at both the time that they request</w:t>
      </w:r>
      <w:r w:rsidR="00C757A2" w:rsidRPr="00993785">
        <w:rPr>
          <w:rFonts w:ascii="Garamond" w:eastAsia="Garamond" w:hAnsi="Garamond" w:cs="Garamond"/>
          <w:color w:val="000000"/>
        </w:rPr>
        <w:t>, and the time that they receive, medical</w:t>
      </w:r>
      <w:r w:rsidRPr="00993785">
        <w:rPr>
          <w:rFonts w:ascii="Garamond" w:eastAsia="Garamond" w:hAnsi="Garamond" w:cs="Garamond"/>
          <w:color w:val="000000"/>
        </w:rPr>
        <w:t xml:space="preserve"> aid in dying. Metastatic breast cancer can leave patients mentally incapacitated before death. Audrey knew that if </w:t>
      </w:r>
      <w:r w:rsidRPr="00993785">
        <w:rPr>
          <w:rFonts w:ascii="Garamond" w:eastAsia="Garamond" w:hAnsi="Garamond" w:cs="Garamond"/>
        </w:rPr>
        <w:t>this</w:t>
      </w:r>
      <w:r w:rsidRPr="00993785">
        <w:rPr>
          <w:rFonts w:ascii="Garamond" w:eastAsia="Garamond" w:hAnsi="Garamond" w:cs="Garamond"/>
          <w:color w:val="000000"/>
        </w:rPr>
        <w:t xml:space="preserve"> happened to her, she would become ineligible to receive </w:t>
      </w:r>
      <w:r w:rsidR="00843CB9" w:rsidRPr="00993785">
        <w:rPr>
          <w:rFonts w:ascii="Garamond" w:eastAsia="Garamond" w:hAnsi="Garamond" w:cs="Garamond"/>
          <w:color w:val="000000"/>
        </w:rPr>
        <w:t>PAD</w:t>
      </w:r>
      <w:r w:rsidRPr="00993785">
        <w:rPr>
          <w:rFonts w:ascii="Garamond" w:eastAsia="Garamond" w:hAnsi="Garamond" w:cs="Garamond"/>
          <w:color w:val="000000"/>
        </w:rPr>
        <w:t>. And so</w:t>
      </w:r>
      <w:r w:rsidR="0089746F" w:rsidRPr="00993785">
        <w:rPr>
          <w:rFonts w:ascii="Garamond" w:eastAsia="Garamond" w:hAnsi="Garamond" w:cs="Garamond"/>
          <w:color w:val="000000"/>
        </w:rPr>
        <w:t xml:space="preserve"> rather than risk losing eligibility for </w:t>
      </w:r>
      <w:r w:rsidR="00843CB9" w:rsidRPr="00993785">
        <w:rPr>
          <w:rFonts w:ascii="Garamond" w:eastAsia="Garamond" w:hAnsi="Garamond" w:cs="Garamond"/>
          <w:color w:val="000000"/>
        </w:rPr>
        <w:t>PAD</w:t>
      </w:r>
      <w:r w:rsidR="0089746F" w:rsidRPr="00993785">
        <w:rPr>
          <w:rFonts w:ascii="Garamond" w:eastAsia="Garamond" w:hAnsi="Garamond" w:cs="Garamond"/>
          <w:color w:val="000000"/>
        </w:rPr>
        <w:t xml:space="preserve">, Audrey opted to end her life prematurely. </w:t>
      </w:r>
    </w:p>
    <w:p w14:paraId="55D950A5" w14:textId="07ADB6DC" w:rsidR="00E91839" w:rsidRPr="00993785" w:rsidRDefault="00843CB9" w:rsidP="00EA3155">
      <w:pPr>
        <w:spacing w:line="480" w:lineRule="auto"/>
        <w:jc w:val="both"/>
        <w:rPr>
          <w:rFonts w:ascii="Garamond" w:eastAsia="Garamond" w:hAnsi="Garamond" w:cs="Garamond"/>
        </w:rPr>
      </w:pPr>
      <w:r w:rsidRPr="00993785">
        <w:rPr>
          <w:rFonts w:ascii="Garamond" w:eastAsia="Garamond" w:hAnsi="Garamond" w:cs="Garamond"/>
          <w:color w:val="000000"/>
        </w:rPr>
        <w:tab/>
      </w:r>
      <w:r w:rsidR="00366CB8" w:rsidRPr="00993785">
        <w:rPr>
          <w:rFonts w:ascii="Garamond" w:eastAsia="Garamond" w:hAnsi="Garamond" w:cs="Garamond"/>
          <w:color w:val="000000"/>
        </w:rPr>
        <w:t>P</w:t>
      </w:r>
      <w:r w:rsidRPr="00993785">
        <w:rPr>
          <w:rFonts w:ascii="Garamond" w:eastAsia="Garamond" w:hAnsi="Garamond" w:cs="Garamond"/>
          <w:color w:val="000000"/>
        </w:rPr>
        <w:t xml:space="preserve">hilosophical discussions of physician-assisted death </w:t>
      </w:r>
      <w:r w:rsidR="008431C1" w:rsidRPr="00993785">
        <w:rPr>
          <w:rFonts w:ascii="Garamond" w:eastAsia="Garamond" w:hAnsi="Garamond" w:cs="Garamond"/>
          <w:color w:val="000000"/>
        </w:rPr>
        <w:t xml:space="preserve">have traditionally </w:t>
      </w:r>
      <w:r w:rsidRPr="00993785">
        <w:rPr>
          <w:rFonts w:ascii="Garamond" w:eastAsia="Garamond" w:hAnsi="Garamond" w:cs="Garamond"/>
          <w:color w:val="000000"/>
        </w:rPr>
        <w:t>center</w:t>
      </w:r>
      <w:r w:rsidR="008431C1" w:rsidRPr="00993785">
        <w:rPr>
          <w:rFonts w:ascii="Garamond" w:eastAsia="Garamond" w:hAnsi="Garamond" w:cs="Garamond"/>
          <w:color w:val="000000"/>
        </w:rPr>
        <w:t>ed</w:t>
      </w:r>
      <w:r w:rsidRPr="00993785">
        <w:rPr>
          <w:rFonts w:ascii="Garamond" w:eastAsia="Garamond" w:hAnsi="Garamond" w:cs="Garamond"/>
          <w:color w:val="000000"/>
        </w:rPr>
        <w:t xml:space="preserve"> around the question of whether the practice is </w:t>
      </w:r>
      <w:r w:rsidR="00471B0C" w:rsidRPr="00993785">
        <w:rPr>
          <w:rFonts w:ascii="Garamond" w:eastAsia="Garamond" w:hAnsi="Garamond" w:cs="Garamond"/>
          <w:color w:val="000000"/>
        </w:rPr>
        <w:t>ever permissible</w:t>
      </w:r>
      <w:r w:rsidRPr="00993785">
        <w:rPr>
          <w:rFonts w:ascii="Garamond" w:eastAsia="Garamond" w:hAnsi="Garamond" w:cs="Garamond"/>
          <w:color w:val="000000"/>
        </w:rPr>
        <w:t xml:space="preserve">. </w:t>
      </w:r>
      <w:r w:rsidR="008431C1" w:rsidRPr="00993785">
        <w:rPr>
          <w:rFonts w:ascii="Garamond" w:eastAsia="Garamond" w:hAnsi="Garamond" w:cs="Garamond"/>
          <w:color w:val="000000"/>
        </w:rPr>
        <w:t>But in those countries where a form of PAD has been legalized, the public debate has now moved on to</w:t>
      </w:r>
      <w:r w:rsidRPr="00993785">
        <w:rPr>
          <w:rFonts w:ascii="Garamond" w:eastAsia="Garamond" w:hAnsi="Garamond" w:cs="Garamond"/>
          <w:color w:val="000000"/>
        </w:rPr>
        <w:t xml:space="preserve"> a different question: assuming that PAD </w:t>
      </w:r>
      <w:r w:rsidR="00615CA5" w:rsidRPr="00993785">
        <w:rPr>
          <w:rFonts w:ascii="Garamond" w:eastAsia="Garamond" w:hAnsi="Garamond" w:cs="Garamond"/>
          <w:color w:val="000000"/>
        </w:rPr>
        <w:t>can be</w:t>
      </w:r>
      <w:r w:rsidRPr="00993785">
        <w:rPr>
          <w:rFonts w:ascii="Garamond" w:eastAsia="Garamond" w:hAnsi="Garamond" w:cs="Garamond"/>
          <w:color w:val="000000"/>
        </w:rPr>
        <w:t xml:space="preserve"> morally permissible, what limits ought we place on it? </w:t>
      </w:r>
      <w:r w:rsidR="008431C1" w:rsidRPr="00993785">
        <w:rPr>
          <w:rFonts w:ascii="Garamond" w:eastAsia="Garamond" w:hAnsi="Garamond" w:cs="Garamond"/>
          <w:color w:val="000000"/>
        </w:rPr>
        <w:t>That is the question we will address in this paper. In particular,</w:t>
      </w:r>
      <w:r w:rsidRPr="00993785">
        <w:rPr>
          <w:rFonts w:ascii="Garamond" w:eastAsia="Garamond" w:hAnsi="Garamond" w:cs="Garamond"/>
          <w:color w:val="000000"/>
        </w:rPr>
        <w:t xml:space="preserve"> we will </w:t>
      </w:r>
      <w:r w:rsidR="008431C1" w:rsidRPr="00993785">
        <w:rPr>
          <w:rFonts w:ascii="Garamond" w:eastAsia="Garamond" w:hAnsi="Garamond" w:cs="Garamond"/>
          <w:color w:val="000000"/>
        </w:rPr>
        <w:t xml:space="preserve">criticize </w:t>
      </w:r>
      <w:r w:rsidRPr="00993785">
        <w:rPr>
          <w:rFonts w:ascii="Garamond" w:eastAsia="Garamond" w:hAnsi="Garamond" w:cs="Garamond"/>
          <w:color w:val="000000"/>
        </w:rPr>
        <w:t xml:space="preserve">the competency requirements that </w:t>
      </w:r>
      <w:r w:rsidR="00AD482A" w:rsidRPr="00993785">
        <w:rPr>
          <w:rFonts w:ascii="Garamond" w:eastAsia="Garamond" w:hAnsi="Garamond" w:cs="Garamond"/>
          <w:color w:val="000000"/>
        </w:rPr>
        <w:t xml:space="preserve">often </w:t>
      </w:r>
      <w:r w:rsidRPr="00993785">
        <w:rPr>
          <w:rFonts w:ascii="Garamond" w:eastAsia="Garamond" w:hAnsi="Garamond" w:cs="Garamond"/>
          <w:color w:val="000000"/>
        </w:rPr>
        <w:t xml:space="preserve">restrict PAD-eligibility to presently-competent patients. </w:t>
      </w:r>
      <w:r w:rsidR="00366CB8" w:rsidRPr="00993785">
        <w:rPr>
          <w:rFonts w:ascii="Garamond" w:eastAsia="Garamond" w:hAnsi="Garamond" w:cs="Garamond"/>
          <w:color w:val="000000"/>
        </w:rPr>
        <w:t xml:space="preserve">We will argue, contra </w:t>
      </w:r>
      <w:r w:rsidR="005043BB" w:rsidRPr="00993785">
        <w:rPr>
          <w:rFonts w:ascii="Garamond" w:eastAsia="Garamond" w:hAnsi="Garamond" w:cs="Garamond"/>
          <w:color w:val="000000"/>
        </w:rPr>
        <w:t xml:space="preserve">these </w:t>
      </w:r>
      <w:r w:rsidR="00366CB8" w:rsidRPr="00993785">
        <w:rPr>
          <w:rFonts w:ascii="Garamond" w:eastAsia="Garamond" w:hAnsi="Garamond" w:cs="Garamond"/>
          <w:color w:val="000000"/>
        </w:rPr>
        <w:t>requirement</w:t>
      </w:r>
      <w:r w:rsidR="005043BB" w:rsidRPr="00993785">
        <w:rPr>
          <w:rFonts w:ascii="Garamond" w:eastAsia="Garamond" w:hAnsi="Garamond" w:cs="Garamond"/>
          <w:color w:val="000000"/>
        </w:rPr>
        <w:t>s</w:t>
      </w:r>
      <w:r w:rsidR="00366CB8" w:rsidRPr="00993785">
        <w:rPr>
          <w:rFonts w:ascii="Garamond" w:eastAsia="Garamond" w:hAnsi="Garamond" w:cs="Garamond"/>
          <w:color w:val="000000"/>
        </w:rPr>
        <w:t xml:space="preserve">, </w:t>
      </w:r>
      <w:r w:rsidR="000D7002">
        <w:rPr>
          <w:rFonts w:ascii="Garamond" w:eastAsia="Garamond" w:hAnsi="Garamond" w:cs="Garamond"/>
          <w:color w:val="000000"/>
        </w:rPr>
        <w:t xml:space="preserve">granting requests for PAD may be permissible even when the PAD recipient </w:t>
      </w:r>
      <w:r w:rsidR="003167C8">
        <w:rPr>
          <w:rFonts w:ascii="Garamond" w:eastAsia="Garamond" w:hAnsi="Garamond" w:cs="Garamond"/>
          <w:color w:val="000000"/>
        </w:rPr>
        <w:t xml:space="preserve">no longer </w:t>
      </w:r>
      <w:r w:rsidR="000D7002">
        <w:rPr>
          <w:rFonts w:ascii="Garamond" w:eastAsia="Garamond" w:hAnsi="Garamond" w:cs="Garamond"/>
          <w:color w:val="000000"/>
        </w:rPr>
        <w:t xml:space="preserve">has </w:t>
      </w:r>
      <w:r w:rsidR="003167C8">
        <w:rPr>
          <w:rFonts w:ascii="Garamond" w:eastAsia="Garamond" w:hAnsi="Garamond" w:cs="Garamond"/>
          <w:color w:val="000000"/>
        </w:rPr>
        <w:t>decision-making capacity</w:t>
      </w:r>
      <w:r w:rsidR="00366CB8" w:rsidRPr="00993785">
        <w:rPr>
          <w:rFonts w:ascii="Garamond" w:eastAsia="Garamond" w:hAnsi="Garamond" w:cs="Garamond"/>
          <w:color w:val="000000"/>
        </w:rPr>
        <w:t xml:space="preserve">. </w:t>
      </w:r>
      <w:r w:rsidR="000D2237" w:rsidRPr="00993785">
        <w:rPr>
          <w:rFonts w:ascii="Garamond" w:eastAsia="Garamond" w:hAnsi="Garamond" w:cs="Garamond"/>
          <w:color w:val="000000"/>
        </w:rPr>
        <w:t xml:space="preserve">More specifically, we aim to </w:t>
      </w:r>
      <w:r w:rsidR="000B27E5" w:rsidRPr="00993785">
        <w:rPr>
          <w:rFonts w:ascii="Garamond" w:eastAsia="Garamond" w:hAnsi="Garamond" w:cs="Garamond"/>
          <w:color w:val="000000"/>
        </w:rPr>
        <w:t xml:space="preserve">ultimately </w:t>
      </w:r>
      <w:r w:rsidR="000D2237" w:rsidRPr="00993785">
        <w:rPr>
          <w:rFonts w:ascii="Garamond" w:eastAsia="Garamond" w:hAnsi="Garamond" w:cs="Garamond"/>
          <w:color w:val="000000"/>
        </w:rPr>
        <w:t>establish the following two claims: </w:t>
      </w:r>
    </w:p>
    <w:p w14:paraId="0CF7C08E" w14:textId="008B660F" w:rsidR="00E91839" w:rsidRPr="00993785" w:rsidRDefault="000D2237" w:rsidP="00EA3155">
      <w:pPr>
        <w:ind w:left="720"/>
        <w:jc w:val="both"/>
        <w:rPr>
          <w:rFonts w:ascii="Garamond" w:eastAsia="Garamond" w:hAnsi="Garamond" w:cs="Garamond"/>
          <w:color w:val="000000"/>
        </w:rPr>
      </w:pPr>
      <w:bookmarkStart w:id="0" w:name="_gjdgxs" w:colFirst="0" w:colLast="0"/>
      <w:bookmarkEnd w:id="0"/>
      <w:r w:rsidRPr="00993785">
        <w:rPr>
          <w:rFonts w:ascii="Garamond" w:eastAsia="Garamond" w:hAnsi="Garamond" w:cs="Garamond"/>
          <w:b/>
          <w:smallCaps/>
        </w:rPr>
        <w:t xml:space="preserve">Legal </w:t>
      </w:r>
      <w:r w:rsidR="004A72AB" w:rsidRPr="00993785">
        <w:rPr>
          <w:rFonts w:ascii="Garamond" w:eastAsia="Garamond" w:hAnsi="Garamond" w:cs="Garamond"/>
          <w:b/>
          <w:smallCaps/>
        </w:rPr>
        <w:t>Advance</w:t>
      </w:r>
      <w:r w:rsidR="006C72DE" w:rsidRPr="00993785">
        <w:rPr>
          <w:rFonts w:ascii="Garamond" w:eastAsia="Garamond" w:hAnsi="Garamond" w:cs="Garamond"/>
          <w:b/>
          <w:smallCaps/>
        </w:rPr>
        <w:t xml:space="preserve"> </w:t>
      </w:r>
      <w:r w:rsidR="00843CB9" w:rsidRPr="00993785">
        <w:rPr>
          <w:rFonts w:ascii="Garamond" w:eastAsia="Garamond" w:hAnsi="Garamond" w:cs="Garamond"/>
          <w:b/>
          <w:smallCaps/>
        </w:rPr>
        <w:t>PAD</w:t>
      </w:r>
      <w:r w:rsidRPr="00993785">
        <w:rPr>
          <w:rFonts w:ascii="Garamond" w:eastAsia="Garamond" w:hAnsi="Garamond" w:cs="Garamond"/>
        </w:rPr>
        <w:t>:</w:t>
      </w:r>
      <w:r w:rsidRPr="00993785">
        <w:rPr>
          <w:rFonts w:ascii="Garamond" w:eastAsia="Garamond" w:hAnsi="Garamond" w:cs="Garamond"/>
          <w:b/>
        </w:rPr>
        <w:t xml:space="preserve"> </w:t>
      </w:r>
      <w:r w:rsidRPr="00993785">
        <w:rPr>
          <w:rFonts w:ascii="Garamond" w:eastAsia="Garamond" w:hAnsi="Garamond" w:cs="Garamond"/>
          <w:color w:val="000000"/>
        </w:rPr>
        <w:t xml:space="preserve">In many circumstances, it should be legal for doctors </w:t>
      </w:r>
      <w:r w:rsidRPr="00993785">
        <w:rPr>
          <w:rFonts w:ascii="Garamond" w:eastAsia="Garamond" w:hAnsi="Garamond" w:cs="Garamond"/>
        </w:rPr>
        <w:t>to</w:t>
      </w:r>
      <w:r w:rsidRPr="00993785">
        <w:rPr>
          <w:rFonts w:ascii="Garamond" w:eastAsia="Garamond" w:hAnsi="Garamond" w:cs="Garamond"/>
          <w:color w:val="000000"/>
        </w:rPr>
        <w:t xml:space="preserve"> </w:t>
      </w:r>
      <w:r w:rsidRPr="00993785">
        <w:rPr>
          <w:rFonts w:ascii="Garamond" w:eastAsia="Garamond" w:hAnsi="Garamond" w:cs="Garamond"/>
        </w:rPr>
        <w:t xml:space="preserve">provide </w:t>
      </w:r>
      <w:r w:rsidR="00843CB9" w:rsidRPr="00993785">
        <w:rPr>
          <w:rFonts w:ascii="Garamond" w:eastAsia="Garamond" w:hAnsi="Garamond" w:cs="Garamond"/>
        </w:rPr>
        <w:t>PAD</w:t>
      </w:r>
      <w:r w:rsidR="00746D46" w:rsidRPr="00993785">
        <w:rPr>
          <w:rFonts w:ascii="Garamond" w:eastAsia="Garamond" w:hAnsi="Garamond" w:cs="Garamond"/>
        </w:rPr>
        <w:t xml:space="preserve"> </w:t>
      </w:r>
      <w:r w:rsidRPr="00993785">
        <w:rPr>
          <w:rFonts w:ascii="Garamond" w:eastAsia="Garamond" w:hAnsi="Garamond" w:cs="Garamond"/>
        </w:rPr>
        <w:t xml:space="preserve">to </w:t>
      </w:r>
      <w:r w:rsidR="00366CB8" w:rsidRPr="00993785">
        <w:rPr>
          <w:rFonts w:ascii="Garamond" w:eastAsia="Garamond" w:hAnsi="Garamond" w:cs="Garamond"/>
        </w:rPr>
        <w:t xml:space="preserve">terminally ill, </w:t>
      </w:r>
      <w:r w:rsidRPr="00993785">
        <w:rPr>
          <w:rFonts w:ascii="Garamond" w:eastAsia="Garamond" w:hAnsi="Garamond" w:cs="Garamond"/>
        </w:rPr>
        <w:t xml:space="preserve">mentally incapacitated patients with advance directives requesting it. </w:t>
      </w:r>
    </w:p>
    <w:p w14:paraId="17A2CFAB" w14:textId="77777777" w:rsidR="00E91839" w:rsidRPr="00993785" w:rsidRDefault="00E91839" w:rsidP="00EA3155">
      <w:pPr>
        <w:ind w:left="1440" w:hanging="720"/>
        <w:jc w:val="both"/>
        <w:rPr>
          <w:rFonts w:ascii="Garamond" w:eastAsia="Garamond" w:hAnsi="Garamond" w:cs="Garamond"/>
        </w:rPr>
      </w:pPr>
    </w:p>
    <w:p w14:paraId="5C05A2EB" w14:textId="2E4CDBD5" w:rsidR="00E91839" w:rsidRPr="00993785" w:rsidRDefault="000D2237" w:rsidP="00EA3155">
      <w:pPr>
        <w:ind w:left="720"/>
        <w:jc w:val="both"/>
        <w:rPr>
          <w:rFonts w:ascii="Garamond" w:eastAsia="Times New Roman" w:hAnsi="Garamond" w:cs="Times New Roman"/>
        </w:rPr>
      </w:pPr>
      <w:r w:rsidRPr="00993785">
        <w:rPr>
          <w:rFonts w:ascii="Garamond" w:eastAsia="Garamond" w:hAnsi="Garamond" w:cs="Garamond"/>
          <w:b/>
          <w:smallCaps/>
        </w:rPr>
        <w:t>Legal Surrogate</w:t>
      </w:r>
      <w:r w:rsidR="006C72DE" w:rsidRPr="00993785">
        <w:rPr>
          <w:rFonts w:ascii="Garamond" w:eastAsia="Garamond" w:hAnsi="Garamond" w:cs="Garamond"/>
          <w:b/>
          <w:smallCaps/>
        </w:rPr>
        <w:t xml:space="preserve"> </w:t>
      </w:r>
      <w:r w:rsidR="00843CB9" w:rsidRPr="00993785">
        <w:rPr>
          <w:rFonts w:ascii="Garamond" w:eastAsia="Garamond" w:hAnsi="Garamond" w:cs="Garamond"/>
          <w:b/>
          <w:smallCaps/>
        </w:rPr>
        <w:t>PAD</w:t>
      </w:r>
      <w:r w:rsidRPr="00993785">
        <w:rPr>
          <w:rFonts w:ascii="Garamond" w:eastAsia="Garamond" w:hAnsi="Garamond" w:cs="Garamond"/>
        </w:rPr>
        <w:t xml:space="preserve">: </w:t>
      </w:r>
      <w:r w:rsidRPr="00993785">
        <w:rPr>
          <w:rFonts w:ascii="Garamond" w:eastAsia="Garamond" w:hAnsi="Garamond" w:cs="Garamond"/>
          <w:color w:val="000000"/>
        </w:rPr>
        <w:t xml:space="preserve"> In many circumstances, it should be legal for</w:t>
      </w:r>
      <w:r w:rsidRPr="00993785">
        <w:rPr>
          <w:rFonts w:ascii="Garamond" w:eastAsia="Garamond" w:hAnsi="Garamond" w:cs="Garamond"/>
        </w:rPr>
        <w:t xml:space="preserve"> </w:t>
      </w:r>
      <w:r w:rsidRPr="00993785">
        <w:rPr>
          <w:rFonts w:ascii="Garamond" w:eastAsia="Garamond" w:hAnsi="Garamond" w:cs="Garamond"/>
          <w:color w:val="000000"/>
        </w:rPr>
        <w:t xml:space="preserve">doctors </w:t>
      </w:r>
      <w:r w:rsidRPr="00993785">
        <w:rPr>
          <w:rFonts w:ascii="Garamond" w:eastAsia="Garamond" w:hAnsi="Garamond" w:cs="Garamond"/>
        </w:rPr>
        <w:t>to</w:t>
      </w:r>
      <w:r w:rsidRPr="00993785">
        <w:rPr>
          <w:rFonts w:ascii="Garamond" w:eastAsia="Garamond" w:hAnsi="Garamond" w:cs="Garamond"/>
          <w:color w:val="000000"/>
        </w:rPr>
        <w:t xml:space="preserve"> </w:t>
      </w:r>
      <w:r w:rsidRPr="00993785">
        <w:rPr>
          <w:rFonts w:ascii="Garamond" w:eastAsia="Garamond" w:hAnsi="Garamond" w:cs="Garamond"/>
        </w:rPr>
        <w:t xml:space="preserve">provide </w:t>
      </w:r>
      <w:r w:rsidR="00843CB9" w:rsidRPr="00993785">
        <w:rPr>
          <w:rFonts w:ascii="Garamond" w:eastAsia="Garamond" w:hAnsi="Garamond" w:cs="Garamond"/>
        </w:rPr>
        <w:t>PAD</w:t>
      </w:r>
      <w:r w:rsidR="00746D46" w:rsidRPr="00993785">
        <w:rPr>
          <w:rFonts w:ascii="Garamond" w:eastAsia="Garamond" w:hAnsi="Garamond" w:cs="Garamond"/>
          <w:color w:val="000000"/>
        </w:rPr>
        <w:t xml:space="preserve"> </w:t>
      </w:r>
      <w:r w:rsidRPr="00993785">
        <w:rPr>
          <w:rFonts w:ascii="Garamond" w:eastAsia="Garamond" w:hAnsi="Garamond" w:cs="Garamond"/>
          <w:color w:val="000000"/>
        </w:rPr>
        <w:t xml:space="preserve">to </w:t>
      </w:r>
      <w:r w:rsidR="00366CB8" w:rsidRPr="00993785">
        <w:rPr>
          <w:rFonts w:ascii="Garamond" w:eastAsia="Garamond" w:hAnsi="Garamond" w:cs="Garamond"/>
          <w:color w:val="000000"/>
        </w:rPr>
        <w:t xml:space="preserve">terminally ill, </w:t>
      </w:r>
      <w:r w:rsidRPr="00993785">
        <w:rPr>
          <w:rFonts w:ascii="Garamond" w:eastAsia="Garamond" w:hAnsi="Garamond" w:cs="Garamond"/>
          <w:color w:val="000000"/>
        </w:rPr>
        <w:t>mentally in</w:t>
      </w:r>
      <w:r w:rsidRPr="00993785">
        <w:rPr>
          <w:rFonts w:ascii="Garamond" w:eastAsia="Garamond" w:hAnsi="Garamond" w:cs="Garamond"/>
        </w:rPr>
        <w:t>capacitated patients whose surrogate decision</w:t>
      </w:r>
      <w:r w:rsidR="00E466FC">
        <w:rPr>
          <w:rFonts w:ascii="Garamond" w:eastAsia="Garamond" w:hAnsi="Garamond" w:cs="Garamond"/>
        </w:rPr>
        <w:t xml:space="preserve"> </w:t>
      </w:r>
      <w:r w:rsidRPr="00993785">
        <w:rPr>
          <w:rFonts w:ascii="Garamond" w:eastAsia="Garamond" w:hAnsi="Garamond" w:cs="Garamond"/>
        </w:rPr>
        <w:t xml:space="preserve">makers request it. </w:t>
      </w:r>
    </w:p>
    <w:p w14:paraId="5F47FC5E" w14:textId="77777777" w:rsidR="00E91839" w:rsidRPr="00993785" w:rsidRDefault="00E91839" w:rsidP="00EA3155">
      <w:pPr>
        <w:jc w:val="both"/>
        <w:rPr>
          <w:rFonts w:ascii="Garamond" w:eastAsia="Times New Roman" w:hAnsi="Garamond" w:cs="Times New Roman"/>
        </w:rPr>
      </w:pPr>
    </w:p>
    <w:p w14:paraId="37E6D5CF" w14:textId="77777777" w:rsidR="0034454D" w:rsidRDefault="000D2237" w:rsidP="00EA3155">
      <w:pPr>
        <w:spacing w:line="480" w:lineRule="auto"/>
        <w:jc w:val="both"/>
        <w:rPr>
          <w:rFonts w:ascii="Garamond" w:eastAsia="Garamond" w:hAnsi="Garamond" w:cs="Garamond"/>
        </w:rPr>
      </w:pPr>
      <w:r w:rsidRPr="00993785">
        <w:rPr>
          <w:rFonts w:ascii="Garamond" w:eastAsia="Garamond" w:hAnsi="Garamond" w:cs="Garamond"/>
          <w:color w:val="000000"/>
        </w:rPr>
        <w:t>We argue that both claims ought to be granted in light of moral views</w:t>
      </w:r>
      <w:r w:rsidR="00FD06F2" w:rsidRPr="00993785">
        <w:rPr>
          <w:rFonts w:ascii="Garamond" w:eastAsia="Garamond" w:hAnsi="Garamond" w:cs="Garamond"/>
          <w:color w:val="000000"/>
        </w:rPr>
        <w:t xml:space="preserve"> that are already </w:t>
      </w:r>
      <w:r w:rsidR="00E95241" w:rsidRPr="00993785">
        <w:rPr>
          <w:rFonts w:ascii="Garamond" w:eastAsia="Garamond" w:hAnsi="Garamond" w:cs="Garamond"/>
          <w:color w:val="000000"/>
        </w:rPr>
        <w:t xml:space="preserve">widely </w:t>
      </w:r>
      <w:r w:rsidR="00FD06F2" w:rsidRPr="00993785">
        <w:rPr>
          <w:rFonts w:ascii="Garamond" w:eastAsia="Garamond" w:hAnsi="Garamond" w:cs="Garamond"/>
          <w:color w:val="000000"/>
        </w:rPr>
        <w:t xml:space="preserve">endorsed and legally codified in many countries, including </w:t>
      </w:r>
      <w:r w:rsidR="00843CB9" w:rsidRPr="00993785">
        <w:rPr>
          <w:rFonts w:ascii="Garamond" w:eastAsia="Garamond" w:hAnsi="Garamond" w:cs="Garamond"/>
          <w:color w:val="000000"/>
        </w:rPr>
        <w:t>the United States and Canada</w:t>
      </w:r>
      <w:r w:rsidRPr="00993785">
        <w:rPr>
          <w:rFonts w:ascii="Garamond" w:eastAsia="Garamond" w:hAnsi="Garamond" w:cs="Garamond"/>
        </w:rPr>
        <w:t xml:space="preserve">. </w:t>
      </w:r>
    </w:p>
    <w:p w14:paraId="67A98AAC" w14:textId="6CFCC38C" w:rsidR="00E91839" w:rsidRPr="00993785" w:rsidRDefault="002B5CD1" w:rsidP="0034454D">
      <w:pPr>
        <w:spacing w:line="480" w:lineRule="auto"/>
        <w:ind w:firstLine="720"/>
        <w:jc w:val="both"/>
        <w:rPr>
          <w:rFonts w:ascii="Garamond" w:eastAsia="Garamond" w:hAnsi="Garamond" w:cs="Garamond"/>
        </w:rPr>
      </w:pPr>
      <w:r>
        <w:rPr>
          <w:rFonts w:ascii="Garamond" w:eastAsia="Garamond" w:hAnsi="Garamond" w:cs="Garamond"/>
          <w:color w:val="000000"/>
        </w:rPr>
        <w:t xml:space="preserve">Our paper proceeds as follows. </w:t>
      </w:r>
      <w:r w:rsidR="000D2237" w:rsidRPr="00993785">
        <w:rPr>
          <w:rFonts w:ascii="Garamond" w:eastAsia="Garamond" w:hAnsi="Garamond" w:cs="Garamond"/>
        </w:rPr>
        <w:t xml:space="preserve">After offering </w:t>
      </w:r>
      <w:r w:rsidR="00E95241" w:rsidRPr="00993785">
        <w:rPr>
          <w:rFonts w:ascii="Garamond" w:eastAsia="Garamond" w:hAnsi="Garamond" w:cs="Garamond"/>
        </w:rPr>
        <w:t>preliminary</w:t>
      </w:r>
      <w:r w:rsidR="000D2237" w:rsidRPr="00993785">
        <w:rPr>
          <w:rFonts w:ascii="Garamond" w:eastAsia="Garamond" w:hAnsi="Garamond" w:cs="Garamond"/>
        </w:rPr>
        <w:t xml:space="preserve"> remarks in </w:t>
      </w:r>
      <w:r w:rsidR="000D2237" w:rsidRPr="00993785">
        <w:rPr>
          <w:rFonts w:ascii="Garamond" w:eastAsia="Garamond" w:hAnsi="Garamond" w:cs="Garamond"/>
          <w:b/>
        </w:rPr>
        <w:t>Section 1</w:t>
      </w:r>
      <w:r w:rsidR="000D2237" w:rsidRPr="00993785">
        <w:rPr>
          <w:rFonts w:ascii="Garamond" w:eastAsia="Garamond" w:hAnsi="Garamond" w:cs="Garamond"/>
        </w:rPr>
        <w:t xml:space="preserve">, we begin our argument in </w:t>
      </w:r>
      <w:r w:rsidR="000D2237" w:rsidRPr="00993785">
        <w:rPr>
          <w:rFonts w:ascii="Garamond" w:eastAsia="Garamond" w:hAnsi="Garamond" w:cs="Garamond"/>
          <w:b/>
        </w:rPr>
        <w:t>Section 2</w:t>
      </w:r>
      <w:r w:rsidR="000D2237" w:rsidRPr="00993785">
        <w:rPr>
          <w:rFonts w:ascii="Garamond" w:eastAsia="Garamond" w:hAnsi="Garamond" w:cs="Garamond"/>
        </w:rPr>
        <w:t xml:space="preserve"> with two </w:t>
      </w:r>
      <w:r w:rsidR="00E95241" w:rsidRPr="00993785">
        <w:rPr>
          <w:rFonts w:ascii="Garamond" w:eastAsia="Garamond" w:hAnsi="Garamond" w:cs="Garamond"/>
        </w:rPr>
        <w:t xml:space="preserve">widely </w:t>
      </w:r>
      <w:r w:rsidR="000D2237" w:rsidRPr="00993785">
        <w:rPr>
          <w:rFonts w:ascii="Garamond" w:eastAsia="Garamond" w:hAnsi="Garamond" w:cs="Garamond"/>
        </w:rPr>
        <w:t>endorsed claims:</w:t>
      </w:r>
    </w:p>
    <w:p w14:paraId="3B1CC217" w14:textId="2EA5E40A" w:rsidR="00E91839" w:rsidRPr="00993785" w:rsidRDefault="000D2237" w:rsidP="00EA3155">
      <w:pPr>
        <w:ind w:left="720"/>
        <w:jc w:val="both"/>
        <w:rPr>
          <w:rFonts w:ascii="Garamond" w:eastAsia="Garamond" w:hAnsi="Garamond" w:cs="Garamond"/>
        </w:rPr>
      </w:pPr>
      <w:r w:rsidRPr="00993785">
        <w:rPr>
          <w:rFonts w:ascii="Garamond" w:eastAsia="Garamond" w:hAnsi="Garamond" w:cs="Garamond"/>
          <w:b/>
          <w:smallCaps/>
        </w:rPr>
        <w:lastRenderedPageBreak/>
        <w:t>Permissible Patient</w:t>
      </w:r>
      <w:r w:rsidR="00F561F9" w:rsidRPr="00993785">
        <w:rPr>
          <w:rFonts w:ascii="Garamond" w:eastAsia="Garamond" w:hAnsi="Garamond" w:cs="Garamond"/>
          <w:b/>
          <w:smallCaps/>
        </w:rPr>
        <w:t xml:space="preserve"> </w:t>
      </w:r>
      <w:r w:rsidR="00843CB9" w:rsidRPr="00993785">
        <w:rPr>
          <w:rFonts w:ascii="Garamond" w:eastAsia="Garamond" w:hAnsi="Garamond" w:cs="Garamond"/>
          <w:b/>
          <w:smallCaps/>
        </w:rPr>
        <w:t>PAD</w:t>
      </w:r>
      <w:r w:rsidRPr="00993785">
        <w:rPr>
          <w:rFonts w:ascii="Garamond" w:eastAsia="Garamond" w:hAnsi="Garamond" w:cs="Garamond"/>
        </w:rPr>
        <w:t>:</w:t>
      </w:r>
      <w:r w:rsidRPr="00993785">
        <w:rPr>
          <w:rFonts w:ascii="Garamond" w:eastAsia="Garamond" w:hAnsi="Garamond" w:cs="Garamond"/>
          <w:b/>
        </w:rPr>
        <w:t xml:space="preserve"> </w:t>
      </w:r>
      <w:r w:rsidRPr="00993785">
        <w:rPr>
          <w:rFonts w:ascii="Garamond" w:eastAsia="Garamond" w:hAnsi="Garamond" w:cs="Garamond"/>
        </w:rPr>
        <w:t>I</w:t>
      </w:r>
      <w:r w:rsidRPr="00993785">
        <w:rPr>
          <w:rFonts w:ascii="Garamond" w:eastAsia="Garamond" w:hAnsi="Garamond" w:cs="Garamond"/>
          <w:color w:val="000000"/>
        </w:rPr>
        <w:t>t is in</w:t>
      </w:r>
      <w:r w:rsidRPr="00993785">
        <w:rPr>
          <w:rFonts w:ascii="Garamond" w:eastAsia="Garamond" w:hAnsi="Garamond" w:cs="Garamond"/>
        </w:rPr>
        <w:t xml:space="preserve"> principle permissible for doctors to provide </w:t>
      </w:r>
      <w:r w:rsidR="00843CB9" w:rsidRPr="00993785">
        <w:rPr>
          <w:rFonts w:ascii="Garamond" w:eastAsia="Garamond" w:hAnsi="Garamond" w:cs="Garamond"/>
        </w:rPr>
        <w:t>PAD</w:t>
      </w:r>
      <w:r w:rsidR="00433431" w:rsidRPr="00993785">
        <w:rPr>
          <w:rFonts w:ascii="Garamond" w:eastAsia="Garamond" w:hAnsi="Garamond" w:cs="Garamond"/>
        </w:rPr>
        <w:t xml:space="preserve"> </w:t>
      </w:r>
      <w:r w:rsidRPr="00993785">
        <w:rPr>
          <w:rFonts w:ascii="Garamond" w:eastAsia="Garamond" w:hAnsi="Garamond" w:cs="Garamond"/>
        </w:rPr>
        <w:t>to competent patients who request it.</w:t>
      </w:r>
    </w:p>
    <w:p w14:paraId="594EB75C" w14:textId="77777777" w:rsidR="00E91839" w:rsidRPr="00993785" w:rsidRDefault="00E91839" w:rsidP="00EA3155">
      <w:pPr>
        <w:ind w:left="720"/>
        <w:jc w:val="both"/>
        <w:rPr>
          <w:rFonts w:ascii="Garamond" w:eastAsia="Garamond" w:hAnsi="Garamond" w:cs="Garamond"/>
        </w:rPr>
      </w:pPr>
    </w:p>
    <w:p w14:paraId="3BDD1771" w14:textId="205BB9BF" w:rsidR="00E91839" w:rsidRPr="00993785" w:rsidRDefault="000D2237" w:rsidP="00EA3155">
      <w:pPr>
        <w:ind w:left="720"/>
        <w:jc w:val="both"/>
        <w:rPr>
          <w:rFonts w:ascii="Garamond" w:eastAsia="Garamond" w:hAnsi="Garamond" w:cs="Garamond"/>
        </w:rPr>
      </w:pPr>
      <w:r w:rsidRPr="00993785">
        <w:rPr>
          <w:rFonts w:ascii="Garamond" w:eastAsia="Garamond" w:hAnsi="Garamond" w:cs="Garamond"/>
          <w:b/>
          <w:smallCaps/>
        </w:rPr>
        <w:t xml:space="preserve">Permissible </w:t>
      </w:r>
      <w:r w:rsidR="004A72AB" w:rsidRPr="00993785">
        <w:rPr>
          <w:rFonts w:ascii="Garamond" w:eastAsia="Garamond" w:hAnsi="Garamond" w:cs="Garamond"/>
          <w:b/>
          <w:smallCaps/>
        </w:rPr>
        <w:t>Advance</w:t>
      </w:r>
      <w:r w:rsidR="00F561F9" w:rsidRPr="00993785">
        <w:rPr>
          <w:rFonts w:ascii="Garamond" w:eastAsia="Garamond" w:hAnsi="Garamond" w:cs="Garamond"/>
          <w:b/>
          <w:smallCaps/>
        </w:rPr>
        <w:t xml:space="preserve"> </w:t>
      </w:r>
      <w:r w:rsidR="00FD06F2" w:rsidRPr="00993785">
        <w:rPr>
          <w:rFonts w:ascii="Garamond" w:eastAsia="Garamond" w:hAnsi="Garamond" w:cs="Garamond"/>
          <w:b/>
          <w:smallCaps/>
        </w:rPr>
        <w:t>Withdrawal</w:t>
      </w:r>
      <w:r w:rsidRPr="00993785">
        <w:rPr>
          <w:rFonts w:ascii="Garamond" w:eastAsia="Garamond" w:hAnsi="Garamond" w:cs="Garamond"/>
        </w:rPr>
        <w:t>: It is in principle permissible for doctors to withdraw life-sustaining care from mentally incapacitated patients with advance directives requesting it.</w:t>
      </w:r>
    </w:p>
    <w:p w14:paraId="2BD92DC8" w14:textId="77777777" w:rsidR="00E91839" w:rsidRPr="00993785" w:rsidRDefault="00E91839" w:rsidP="00EA3155">
      <w:pPr>
        <w:ind w:left="720"/>
        <w:jc w:val="both"/>
        <w:rPr>
          <w:rFonts w:ascii="Garamond" w:eastAsia="Garamond" w:hAnsi="Garamond" w:cs="Garamond"/>
        </w:rPr>
      </w:pPr>
    </w:p>
    <w:p w14:paraId="45BE226E" w14:textId="77777777" w:rsidR="00E91839" w:rsidRPr="00993785" w:rsidRDefault="000D2237" w:rsidP="00EA3155">
      <w:pPr>
        <w:spacing w:line="480" w:lineRule="auto"/>
        <w:jc w:val="both"/>
        <w:rPr>
          <w:rFonts w:ascii="Garamond" w:eastAsia="Garamond" w:hAnsi="Garamond" w:cs="Garamond"/>
        </w:rPr>
      </w:pPr>
      <w:r w:rsidRPr="00993785">
        <w:rPr>
          <w:rFonts w:ascii="Garamond" w:eastAsia="Garamond" w:hAnsi="Garamond" w:cs="Garamond"/>
        </w:rPr>
        <w:t>We argue that if these two claims are true, then we must endorse:</w:t>
      </w:r>
    </w:p>
    <w:p w14:paraId="37EB1FE1" w14:textId="42D7F264" w:rsidR="00BE123A" w:rsidRPr="00993785" w:rsidRDefault="000D2237" w:rsidP="00EA3155">
      <w:pPr>
        <w:jc w:val="both"/>
        <w:rPr>
          <w:rFonts w:ascii="Garamond" w:eastAsia="Garamond" w:hAnsi="Garamond" w:cs="Garamond"/>
        </w:rPr>
      </w:pPr>
      <w:r w:rsidRPr="00993785">
        <w:rPr>
          <w:rFonts w:ascii="Garamond" w:eastAsia="Garamond" w:hAnsi="Garamond" w:cs="Garamond"/>
        </w:rPr>
        <w:tab/>
      </w:r>
      <w:r w:rsidRPr="00993785">
        <w:rPr>
          <w:rFonts w:ascii="Garamond" w:eastAsia="Garamond" w:hAnsi="Garamond" w:cs="Garamond"/>
          <w:b/>
          <w:smallCaps/>
        </w:rPr>
        <w:t xml:space="preserve">Permissible </w:t>
      </w:r>
      <w:r w:rsidR="004A72AB" w:rsidRPr="00993785">
        <w:rPr>
          <w:rFonts w:ascii="Garamond" w:eastAsia="Garamond" w:hAnsi="Garamond" w:cs="Garamond"/>
          <w:b/>
          <w:smallCaps/>
        </w:rPr>
        <w:t>Advance</w:t>
      </w:r>
      <w:r w:rsidR="00F561F9" w:rsidRPr="00993785">
        <w:rPr>
          <w:rFonts w:ascii="Garamond" w:eastAsia="Garamond" w:hAnsi="Garamond" w:cs="Garamond"/>
          <w:b/>
          <w:smallCaps/>
        </w:rPr>
        <w:t xml:space="preserve"> </w:t>
      </w:r>
      <w:r w:rsidR="00843CB9" w:rsidRPr="00993785">
        <w:rPr>
          <w:rFonts w:ascii="Garamond" w:eastAsia="Garamond" w:hAnsi="Garamond" w:cs="Garamond"/>
          <w:b/>
          <w:smallCaps/>
        </w:rPr>
        <w:t>PAD</w:t>
      </w:r>
      <w:r w:rsidRPr="00993785">
        <w:rPr>
          <w:rFonts w:ascii="Garamond" w:eastAsia="Garamond" w:hAnsi="Garamond" w:cs="Garamond"/>
        </w:rPr>
        <w:t xml:space="preserve">: It is in principle permissible for doctors to provide </w:t>
      </w:r>
      <w:r w:rsidR="00843CB9" w:rsidRPr="00993785">
        <w:rPr>
          <w:rFonts w:ascii="Garamond" w:eastAsia="Garamond" w:hAnsi="Garamond" w:cs="Garamond"/>
        </w:rPr>
        <w:t>PAD</w:t>
      </w:r>
      <w:r w:rsidRPr="00993785">
        <w:rPr>
          <w:rFonts w:ascii="Garamond" w:eastAsia="Garamond" w:hAnsi="Garamond" w:cs="Garamond"/>
        </w:rPr>
        <w:t xml:space="preserve"> </w:t>
      </w:r>
    </w:p>
    <w:p w14:paraId="4DBA69D1" w14:textId="5232D507" w:rsidR="00E91839" w:rsidRPr="00993785" w:rsidRDefault="000D2237" w:rsidP="00EA3155">
      <w:pPr>
        <w:ind w:firstLine="720"/>
        <w:jc w:val="both"/>
        <w:rPr>
          <w:rFonts w:ascii="Garamond" w:eastAsia="Garamond" w:hAnsi="Garamond" w:cs="Garamond"/>
        </w:rPr>
      </w:pPr>
      <w:r w:rsidRPr="00993785">
        <w:rPr>
          <w:rFonts w:ascii="Garamond" w:eastAsia="Garamond" w:hAnsi="Garamond" w:cs="Garamond"/>
        </w:rPr>
        <w:t>to mentally incapacitated patients with advance directives requesting it.</w:t>
      </w:r>
    </w:p>
    <w:p w14:paraId="037A648D" w14:textId="77777777" w:rsidR="00E91839" w:rsidRPr="00993785" w:rsidRDefault="00E91839" w:rsidP="00EA3155">
      <w:pPr>
        <w:jc w:val="both"/>
        <w:rPr>
          <w:rFonts w:ascii="Garamond" w:eastAsia="Garamond" w:hAnsi="Garamond" w:cs="Garamond"/>
        </w:rPr>
      </w:pPr>
    </w:p>
    <w:p w14:paraId="09701EBD" w14:textId="4444A38D" w:rsidR="00E91839" w:rsidRPr="00993785" w:rsidRDefault="000D2237" w:rsidP="00EA3155">
      <w:pPr>
        <w:spacing w:line="480" w:lineRule="auto"/>
        <w:jc w:val="both"/>
        <w:rPr>
          <w:rFonts w:ascii="Garamond" w:eastAsia="Garamond" w:hAnsi="Garamond" w:cs="Garamond"/>
        </w:rPr>
      </w:pPr>
      <w:r w:rsidRPr="00993785">
        <w:rPr>
          <w:rFonts w:ascii="Garamond" w:eastAsia="Garamond" w:hAnsi="Garamond" w:cs="Garamond"/>
        </w:rPr>
        <w:t xml:space="preserve">Beginning with a case that supports </w:t>
      </w:r>
      <w:r w:rsidRPr="00993785">
        <w:rPr>
          <w:rFonts w:ascii="Garamond" w:eastAsia="Garamond" w:hAnsi="Garamond" w:cs="Garamond"/>
          <w:smallCaps/>
        </w:rPr>
        <w:t xml:space="preserve">Permissible </w:t>
      </w:r>
      <w:r w:rsidR="00421EA6" w:rsidRPr="00993785">
        <w:rPr>
          <w:rFonts w:ascii="Garamond" w:eastAsia="Garamond" w:hAnsi="Garamond" w:cs="Garamond"/>
          <w:smallCaps/>
        </w:rPr>
        <w:t xml:space="preserve">Patient </w:t>
      </w:r>
      <w:r w:rsidR="00843CB9" w:rsidRPr="00993785">
        <w:rPr>
          <w:rFonts w:ascii="Garamond" w:eastAsia="Garamond" w:hAnsi="Garamond" w:cs="Garamond"/>
          <w:smallCaps/>
        </w:rPr>
        <w:t>PAD</w:t>
      </w:r>
      <w:r w:rsidRPr="00993785">
        <w:rPr>
          <w:rFonts w:ascii="Garamond" w:eastAsia="Garamond" w:hAnsi="Garamond" w:cs="Garamond"/>
        </w:rPr>
        <w:t xml:space="preserve">, we offer a series of analogous cases terminating in a case of </w:t>
      </w:r>
      <w:r w:rsidR="00FD06F2" w:rsidRPr="00993785">
        <w:rPr>
          <w:rFonts w:ascii="Garamond" w:eastAsia="Garamond" w:hAnsi="Garamond" w:cs="Garamond"/>
        </w:rPr>
        <w:t>withdrawal</w:t>
      </w:r>
      <w:r w:rsidR="00B072C8" w:rsidRPr="00993785">
        <w:rPr>
          <w:rFonts w:ascii="Garamond" w:eastAsia="Garamond" w:hAnsi="Garamond" w:cs="Garamond"/>
        </w:rPr>
        <w:t xml:space="preserve"> of care requested via advance directive</w:t>
      </w:r>
      <w:r w:rsidRPr="00993785">
        <w:rPr>
          <w:rFonts w:ascii="Garamond" w:eastAsia="Garamond" w:hAnsi="Garamond" w:cs="Garamond"/>
        </w:rPr>
        <w:t xml:space="preserve">. We argue that there is no morally relevant difference between each pair of adjacent cases. Since </w:t>
      </w:r>
      <w:r w:rsidR="00843CB9" w:rsidRPr="00993785">
        <w:rPr>
          <w:rFonts w:ascii="Garamond" w:eastAsia="Garamond" w:hAnsi="Garamond" w:cs="Garamond"/>
        </w:rPr>
        <w:t>PAD</w:t>
      </w:r>
      <w:r w:rsidRPr="00993785">
        <w:rPr>
          <w:rFonts w:ascii="Garamond" w:eastAsia="Garamond" w:hAnsi="Garamond" w:cs="Garamond"/>
        </w:rPr>
        <w:t xml:space="preserve"> in the first case is permissible and there is no morally relevant difference between any of the cases, </w:t>
      </w:r>
      <w:r w:rsidR="00843CB9" w:rsidRPr="00993785">
        <w:rPr>
          <w:rFonts w:ascii="Garamond" w:eastAsia="Garamond" w:hAnsi="Garamond" w:cs="Garamond"/>
        </w:rPr>
        <w:t>PAD</w:t>
      </w:r>
      <w:r w:rsidRPr="00993785">
        <w:rPr>
          <w:rFonts w:ascii="Garamond" w:eastAsia="Garamond" w:hAnsi="Garamond" w:cs="Garamond"/>
        </w:rPr>
        <w:t xml:space="preserve"> in the last case must also be permissible.</w:t>
      </w:r>
      <w:r w:rsidR="007F1ED1" w:rsidRPr="00993785">
        <w:rPr>
          <w:rStyle w:val="FootnoteReference"/>
          <w:rFonts w:ascii="Garamond" w:eastAsia="Garamond" w:hAnsi="Garamond" w:cs="Garamond"/>
        </w:rPr>
        <w:footnoteReference w:id="4"/>
      </w:r>
      <w:r w:rsidRPr="00993785">
        <w:rPr>
          <w:rFonts w:ascii="Garamond" w:eastAsia="Garamond" w:hAnsi="Garamond" w:cs="Garamond"/>
        </w:rPr>
        <w:t xml:space="preserve"> </w:t>
      </w:r>
    </w:p>
    <w:p w14:paraId="7B13C98D" w14:textId="5C8AB557" w:rsidR="005043BB" w:rsidRPr="00993785" w:rsidRDefault="000D2237"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In </w:t>
      </w:r>
      <w:r w:rsidRPr="00993785">
        <w:rPr>
          <w:rFonts w:ascii="Garamond" w:eastAsia="Garamond" w:hAnsi="Garamond" w:cs="Garamond"/>
          <w:b/>
        </w:rPr>
        <w:t>Section 3</w:t>
      </w:r>
      <w:r w:rsidRPr="00993785">
        <w:rPr>
          <w:rFonts w:ascii="Garamond" w:eastAsia="Garamond" w:hAnsi="Garamond" w:cs="Garamond"/>
        </w:rPr>
        <w:t xml:space="preserve">, </w:t>
      </w:r>
      <w:r w:rsidR="00E466FC">
        <w:rPr>
          <w:rFonts w:ascii="Garamond" w:eastAsia="Garamond" w:hAnsi="Garamond" w:cs="Garamond"/>
        </w:rPr>
        <w:t xml:space="preserve">we </w:t>
      </w:r>
      <w:r w:rsidR="005043BB" w:rsidRPr="00993785">
        <w:rPr>
          <w:rFonts w:ascii="Garamond" w:eastAsia="Garamond" w:hAnsi="Garamond" w:cs="Garamond"/>
        </w:rPr>
        <w:t xml:space="preserve">aim to establish the following claim: </w:t>
      </w:r>
    </w:p>
    <w:p w14:paraId="2923B376" w14:textId="79F19B6A" w:rsidR="005043BB" w:rsidRPr="00993785" w:rsidRDefault="005043BB" w:rsidP="00EA3155">
      <w:pPr>
        <w:ind w:left="720"/>
        <w:jc w:val="both"/>
        <w:rPr>
          <w:rFonts w:ascii="Garamond" w:eastAsia="Garamond" w:hAnsi="Garamond" w:cs="Garamond"/>
        </w:rPr>
      </w:pPr>
      <w:r w:rsidRPr="00993785">
        <w:rPr>
          <w:rFonts w:ascii="Garamond" w:eastAsia="Garamond" w:hAnsi="Garamond" w:cs="Garamond"/>
          <w:b/>
          <w:smallCaps/>
        </w:rPr>
        <w:t>Permissible Surrogate PAD</w:t>
      </w:r>
      <w:r w:rsidRPr="00993785">
        <w:rPr>
          <w:rFonts w:ascii="Garamond" w:eastAsia="Garamond" w:hAnsi="Garamond" w:cs="Garamond"/>
        </w:rPr>
        <w:t>: It is in principle permissible for doctors to provide PAD to mentally incapacitated patients whose surrogate decision</w:t>
      </w:r>
      <w:r w:rsidR="00E466FC">
        <w:rPr>
          <w:rFonts w:ascii="Garamond" w:eastAsia="Garamond" w:hAnsi="Garamond" w:cs="Garamond"/>
        </w:rPr>
        <w:t xml:space="preserve"> </w:t>
      </w:r>
      <w:r w:rsidRPr="00993785">
        <w:rPr>
          <w:rFonts w:ascii="Garamond" w:eastAsia="Garamond" w:hAnsi="Garamond" w:cs="Garamond"/>
        </w:rPr>
        <w:t>makers request it.</w:t>
      </w:r>
    </w:p>
    <w:p w14:paraId="35020899" w14:textId="77777777" w:rsidR="005043BB" w:rsidRPr="00993785" w:rsidRDefault="005043BB" w:rsidP="00EA3155">
      <w:pPr>
        <w:ind w:left="720"/>
        <w:jc w:val="both"/>
        <w:rPr>
          <w:rFonts w:ascii="Garamond" w:eastAsia="Garamond" w:hAnsi="Garamond" w:cs="Garamond"/>
        </w:rPr>
      </w:pPr>
    </w:p>
    <w:p w14:paraId="1612F1B1" w14:textId="2F42363B" w:rsidR="00AD482A" w:rsidRPr="00993785" w:rsidRDefault="005043BB" w:rsidP="00EA3155">
      <w:pPr>
        <w:spacing w:line="480" w:lineRule="auto"/>
        <w:jc w:val="both"/>
        <w:rPr>
          <w:rFonts w:ascii="Garamond" w:eastAsia="Garamond" w:hAnsi="Garamond" w:cs="Garamond"/>
        </w:rPr>
      </w:pPr>
      <w:r w:rsidRPr="00993785">
        <w:rPr>
          <w:rFonts w:ascii="Garamond" w:eastAsia="Garamond" w:hAnsi="Garamond" w:cs="Garamond"/>
        </w:rPr>
        <w:t xml:space="preserve">Our argument for this claim, once again, appeals to a morally similar, and already accepted medical practice. Specifically, we generally think </w:t>
      </w:r>
      <w:r w:rsidR="00E466FC">
        <w:rPr>
          <w:rFonts w:ascii="Garamond" w:eastAsia="Garamond" w:hAnsi="Garamond" w:cs="Garamond"/>
        </w:rPr>
        <w:t xml:space="preserve">that </w:t>
      </w:r>
      <w:r w:rsidRPr="00993785">
        <w:rPr>
          <w:rFonts w:ascii="Garamond" w:eastAsia="Garamond" w:hAnsi="Garamond" w:cs="Garamond"/>
        </w:rPr>
        <w:t>it is in principle permissible for doctors to withdraw life-sustaining care from mentally incapacitated, terminally ill patients whose surrogates request it</w:t>
      </w:r>
      <w:r w:rsidR="001A096C" w:rsidRPr="00993785">
        <w:rPr>
          <w:rFonts w:ascii="Garamond" w:eastAsia="Garamond" w:hAnsi="Garamond" w:cs="Garamond"/>
        </w:rPr>
        <w:t xml:space="preserve">. </w:t>
      </w:r>
      <w:r w:rsidR="000D2237" w:rsidRPr="00993785">
        <w:rPr>
          <w:rFonts w:ascii="Garamond" w:eastAsia="Garamond" w:hAnsi="Garamond" w:cs="Garamond"/>
        </w:rPr>
        <w:t>We argue that</w:t>
      </w:r>
      <w:r w:rsidR="00AD482A" w:rsidRPr="00993785">
        <w:rPr>
          <w:rFonts w:ascii="Garamond" w:eastAsia="Garamond" w:hAnsi="Garamond" w:cs="Garamond"/>
        </w:rPr>
        <w:t xml:space="preserve">, if we accept that this practice is in principle permissible, and also that advance directive-requested PAD is in principle permissible, then we ought to also accept </w:t>
      </w:r>
      <w:r w:rsidR="00FA5798">
        <w:rPr>
          <w:rFonts w:ascii="Garamond" w:eastAsia="Garamond" w:hAnsi="Garamond" w:cs="Garamond"/>
        </w:rPr>
        <w:t>that</w:t>
      </w:r>
      <w:r w:rsidR="00FA5798" w:rsidRPr="00993785">
        <w:rPr>
          <w:rFonts w:ascii="Garamond" w:eastAsia="Garamond" w:hAnsi="Garamond" w:cs="Garamond"/>
        </w:rPr>
        <w:t xml:space="preserve"> </w:t>
      </w:r>
      <w:r w:rsidR="00AD482A" w:rsidRPr="00993785">
        <w:rPr>
          <w:rFonts w:ascii="Garamond" w:eastAsia="Garamond" w:hAnsi="Garamond" w:cs="Garamond"/>
        </w:rPr>
        <w:t>surrogate-requested PAD</w:t>
      </w:r>
      <w:r w:rsidR="00FA5798">
        <w:rPr>
          <w:rFonts w:ascii="Garamond" w:eastAsia="Garamond" w:hAnsi="Garamond" w:cs="Garamond"/>
        </w:rPr>
        <w:t xml:space="preserve"> is in principle permissible. </w:t>
      </w:r>
      <w:r w:rsidR="00AD482A" w:rsidRPr="00993785">
        <w:rPr>
          <w:rFonts w:ascii="Garamond" w:eastAsia="Garamond" w:hAnsi="Garamond" w:cs="Garamond"/>
        </w:rPr>
        <w:t xml:space="preserve">  </w:t>
      </w:r>
    </w:p>
    <w:p w14:paraId="4E8D3F3B" w14:textId="0E6E5AB2" w:rsidR="00AD482A" w:rsidRPr="00993785" w:rsidRDefault="00AD482A" w:rsidP="00EA3155">
      <w:pPr>
        <w:spacing w:line="480" w:lineRule="auto"/>
        <w:jc w:val="both"/>
        <w:rPr>
          <w:rFonts w:ascii="Garamond" w:eastAsia="Garamond" w:hAnsi="Garamond" w:cs="Garamond"/>
        </w:rPr>
      </w:pPr>
      <w:r w:rsidRPr="00993785">
        <w:rPr>
          <w:rFonts w:ascii="Garamond" w:eastAsia="Garamond" w:hAnsi="Garamond" w:cs="Garamond"/>
        </w:rPr>
        <w:tab/>
        <w:t xml:space="preserve">In the final section of the paper, </w:t>
      </w:r>
      <w:r w:rsidR="000B27E5" w:rsidRPr="00993785">
        <w:rPr>
          <w:rFonts w:ascii="Garamond" w:eastAsia="Garamond" w:hAnsi="Garamond" w:cs="Garamond"/>
        </w:rPr>
        <w:t xml:space="preserve">we argue for </w:t>
      </w:r>
      <w:r w:rsidR="000B27E5" w:rsidRPr="00993785">
        <w:rPr>
          <w:rFonts w:ascii="Garamond" w:eastAsia="Garamond" w:hAnsi="Garamond" w:cs="Garamond"/>
          <w:smallCaps/>
        </w:rPr>
        <w:t>Legal Advance PAD</w:t>
      </w:r>
      <w:r w:rsidR="000B27E5" w:rsidRPr="00993785">
        <w:rPr>
          <w:rFonts w:ascii="Garamond" w:eastAsia="Garamond" w:hAnsi="Garamond" w:cs="Garamond"/>
        </w:rPr>
        <w:t xml:space="preserve"> and </w:t>
      </w:r>
      <w:r w:rsidR="000B27E5" w:rsidRPr="00993785">
        <w:rPr>
          <w:rFonts w:ascii="Garamond" w:eastAsia="Garamond" w:hAnsi="Garamond" w:cs="Garamond"/>
          <w:smallCaps/>
        </w:rPr>
        <w:t>Legal Surrogate PAD.</w:t>
      </w:r>
      <w:r w:rsidR="000B27E5" w:rsidRPr="00993785">
        <w:rPr>
          <w:rFonts w:ascii="Garamond" w:eastAsia="Garamond" w:hAnsi="Garamond" w:cs="Garamond"/>
          <w:b/>
          <w:smallCaps/>
        </w:rPr>
        <w:t xml:space="preserve"> </w:t>
      </w:r>
      <w:r w:rsidR="000B27E5" w:rsidRPr="00993785">
        <w:rPr>
          <w:rFonts w:ascii="Garamond" w:eastAsia="Garamond" w:hAnsi="Garamond" w:cs="Garamond"/>
        </w:rPr>
        <w:t xml:space="preserve"> </w:t>
      </w:r>
      <w:r w:rsidRPr="00993785">
        <w:rPr>
          <w:rFonts w:ascii="Garamond" w:eastAsia="Garamond" w:hAnsi="Garamond" w:cs="Garamond"/>
        </w:rPr>
        <w:t xml:space="preserve">We argue that, while there are reasonable concerns about the riskiness of both practices, </w:t>
      </w:r>
      <w:r w:rsidR="000B27E5" w:rsidRPr="00993785">
        <w:rPr>
          <w:rFonts w:ascii="Garamond" w:eastAsia="Garamond" w:hAnsi="Garamond" w:cs="Garamond"/>
        </w:rPr>
        <w:t xml:space="preserve">and </w:t>
      </w:r>
      <w:r w:rsidR="000B27E5" w:rsidRPr="00993785">
        <w:rPr>
          <w:rFonts w:ascii="Garamond" w:eastAsia="Garamond" w:hAnsi="Garamond" w:cs="Garamond"/>
        </w:rPr>
        <w:lastRenderedPageBreak/>
        <w:t xml:space="preserve">while these concerns give us good reason to monitor these practices closely and at times limit their scope, </w:t>
      </w:r>
      <w:r w:rsidRPr="00993785">
        <w:rPr>
          <w:rFonts w:ascii="Garamond" w:eastAsia="Garamond" w:hAnsi="Garamond" w:cs="Garamond"/>
        </w:rPr>
        <w:t>these concerns are not sufficiently weighty to give us an argument against the legalization of advance directive-requested and surrogate-requested PAD</w:t>
      </w:r>
      <w:r w:rsidR="000B27E5" w:rsidRPr="00993785">
        <w:rPr>
          <w:rFonts w:ascii="Garamond" w:eastAsia="Garamond" w:hAnsi="Garamond" w:cs="Garamond"/>
        </w:rPr>
        <w:t xml:space="preserve">. </w:t>
      </w:r>
    </w:p>
    <w:p w14:paraId="4CD11408" w14:textId="77777777" w:rsidR="00AB1785" w:rsidRPr="00993785" w:rsidRDefault="00AB1785" w:rsidP="00EA3155">
      <w:pPr>
        <w:spacing w:line="480" w:lineRule="auto"/>
        <w:ind w:firstLine="720"/>
        <w:jc w:val="both"/>
        <w:rPr>
          <w:rFonts w:ascii="Garamond" w:eastAsia="Garamond" w:hAnsi="Garamond" w:cs="Garamond"/>
        </w:rPr>
      </w:pPr>
    </w:p>
    <w:p w14:paraId="73E0A76F" w14:textId="13784047" w:rsidR="00E91839" w:rsidRPr="00993785" w:rsidRDefault="000D2237" w:rsidP="00EA3155">
      <w:pPr>
        <w:spacing w:line="480" w:lineRule="auto"/>
        <w:jc w:val="both"/>
        <w:outlineLvl w:val="0"/>
        <w:rPr>
          <w:rFonts w:ascii="Garamond" w:eastAsia="Times New Roman" w:hAnsi="Garamond" w:cs="Times New Roman"/>
        </w:rPr>
      </w:pPr>
      <w:r w:rsidRPr="00993785">
        <w:rPr>
          <w:rFonts w:ascii="Garamond" w:eastAsia="Garamond" w:hAnsi="Garamond" w:cs="Garamond"/>
          <w:b/>
          <w:color w:val="000000"/>
          <w:sz w:val="28"/>
          <w:szCs w:val="28"/>
        </w:rPr>
        <w:t xml:space="preserve">Section 1: </w:t>
      </w:r>
      <w:r w:rsidR="00721DEC" w:rsidRPr="00993785">
        <w:rPr>
          <w:rFonts w:ascii="Garamond" w:eastAsia="Garamond" w:hAnsi="Garamond" w:cs="Garamond"/>
          <w:b/>
          <w:color w:val="000000"/>
          <w:sz w:val="28"/>
          <w:szCs w:val="28"/>
        </w:rPr>
        <w:t>Preliminaries</w:t>
      </w:r>
    </w:p>
    <w:p w14:paraId="3A66E220" w14:textId="2EB7E60D" w:rsidR="00FD06F2" w:rsidRPr="00993785" w:rsidRDefault="00FD06F2" w:rsidP="00EA3155">
      <w:pPr>
        <w:spacing w:line="480" w:lineRule="auto"/>
        <w:jc w:val="both"/>
        <w:rPr>
          <w:rFonts w:ascii="Garamond" w:eastAsia="Times New Roman" w:hAnsi="Garamond" w:cs="Times New Roman"/>
        </w:rPr>
      </w:pPr>
      <w:bookmarkStart w:id="1" w:name="_30j0zll" w:colFirst="0" w:colLast="0"/>
      <w:bookmarkEnd w:id="1"/>
      <w:r w:rsidRPr="00993785">
        <w:rPr>
          <w:rFonts w:ascii="Garamond" w:eastAsia="Garamond" w:hAnsi="Garamond" w:cs="Garamond"/>
          <w:color w:val="000000"/>
        </w:rPr>
        <w:t xml:space="preserve">Throughout the paper, we will be using the following definitions. By </w:t>
      </w:r>
      <w:r w:rsidRPr="00993785">
        <w:rPr>
          <w:rFonts w:ascii="Garamond" w:eastAsia="Garamond" w:hAnsi="Garamond" w:cs="Garamond"/>
          <w:b/>
          <w:color w:val="000000"/>
        </w:rPr>
        <w:t>‘surrogate’</w:t>
      </w:r>
      <w:r w:rsidRPr="00993785">
        <w:rPr>
          <w:rFonts w:ascii="Garamond" w:eastAsia="Garamond" w:hAnsi="Garamond" w:cs="Garamond"/>
          <w:color w:val="000000"/>
        </w:rPr>
        <w:t xml:space="preserve"> (or ‘surrogate decision</w:t>
      </w:r>
      <w:r w:rsidR="00E466FC">
        <w:rPr>
          <w:rFonts w:ascii="Garamond" w:eastAsia="Garamond" w:hAnsi="Garamond" w:cs="Garamond"/>
          <w:color w:val="000000"/>
        </w:rPr>
        <w:t xml:space="preserve"> </w:t>
      </w:r>
      <w:r w:rsidRPr="00993785">
        <w:rPr>
          <w:rFonts w:ascii="Garamond" w:eastAsia="Garamond" w:hAnsi="Garamond" w:cs="Garamond"/>
          <w:color w:val="000000"/>
        </w:rPr>
        <w:t>maker’), we have in mind a person who make</w:t>
      </w:r>
      <w:r w:rsidR="00C0199B" w:rsidRPr="00993785">
        <w:rPr>
          <w:rFonts w:ascii="Garamond" w:eastAsia="Garamond" w:hAnsi="Garamond" w:cs="Garamond"/>
          <w:color w:val="000000"/>
        </w:rPr>
        <w:t>s</w:t>
      </w:r>
      <w:r w:rsidRPr="00993785">
        <w:rPr>
          <w:rFonts w:ascii="Garamond" w:eastAsia="Garamond" w:hAnsi="Garamond" w:cs="Garamond"/>
          <w:color w:val="000000"/>
        </w:rPr>
        <w:t xml:space="preserve"> medical decisions on behalf of a mentally incapacitated patient. Surrogates may be appointed by patients (at a time before their incapacitation), or by legal procedure. </w:t>
      </w:r>
      <w:r w:rsidRPr="00993785">
        <w:rPr>
          <w:rFonts w:ascii="Garamond" w:eastAsia="Garamond" w:hAnsi="Garamond" w:cs="Garamond"/>
          <w:b/>
          <w:color w:val="000000"/>
        </w:rPr>
        <w:t xml:space="preserve">‘Withdrawal of care’ </w:t>
      </w:r>
      <w:r w:rsidRPr="00993785">
        <w:rPr>
          <w:rFonts w:ascii="Garamond" w:eastAsia="Garamond" w:hAnsi="Garamond" w:cs="Garamond"/>
          <w:color w:val="000000"/>
        </w:rPr>
        <w:t xml:space="preserve">refers to cases in which life-sustaining medical care is withdrawn from a patient, </w:t>
      </w:r>
      <w:r w:rsidR="003E7F98" w:rsidRPr="00993785">
        <w:rPr>
          <w:rFonts w:ascii="Garamond" w:eastAsia="Garamond" w:hAnsi="Garamond" w:cs="Garamond"/>
          <w:color w:val="000000"/>
        </w:rPr>
        <w:t>thereby</w:t>
      </w:r>
      <w:r w:rsidRPr="00993785">
        <w:rPr>
          <w:rFonts w:ascii="Garamond" w:eastAsia="Garamond" w:hAnsi="Garamond" w:cs="Garamond"/>
          <w:color w:val="000000"/>
        </w:rPr>
        <w:t xml:space="preserve"> hastening death. </w:t>
      </w:r>
      <w:r w:rsidRPr="00993785">
        <w:rPr>
          <w:rFonts w:ascii="Garamond" w:eastAsia="Garamond" w:hAnsi="Garamond" w:cs="Garamond"/>
          <w:b/>
          <w:color w:val="000000"/>
        </w:rPr>
        <w:t>‘</w:t>
      </w:r>
      <w:r w:rsidR="00843CB9" w:rsidRPr="00993785">
        <w:rPr>
          <w:rFonts w:ascii="Garamond" w:eastAsia="Garamond" w:hAnsi="Garamond" w:cs="Garamond"/>
          <w:b/>
          <w:color w:val="000000"/>
        </w:rPr>
        <w:t>Physician</w:t>
      </w:r>
      <w:r w:rsidR="00E466FC">
        <w:rPr>
          <w:rFonts w:ascii="Garamond" w:eastAsia="Garamond" w:hAnsi="Garamond" w:cs="Garamond"/>
          <w:b/>
          <w:color w:val="000000"/>
        </w:rPr>
        <w:t>-</w:t>
      </w:r>
      <w:r w:rsidR="00C92D6B">
        <w:rPr>
          <w:rFonts w:ascii="Garamond" w:eastAsia="Garamond" w:hAnsi="Garamond" w:cs="Garamond"/>
          <w:b/>
          <w:color w:val="000000"/>
        </w:rPr>
        <w:t>a</w:t>
      </w:r>
      <w:r w:rsidR="00843CB9" w:rsidRPr="00993785">
        <w:rPr>
          <w:rFonts w:ascii="Garamond" w:eastAsia="Garamond" w:hAnsi="Garamond" w:cs="Garamond"/>
          <w:b/>
          <w:color w:val="000000"/>
        </w:rPr>
        <w:t xml:space="preserve">ssisted </w:t>
      </w:r>
      <w:r w:rsidR="00C92D6B">
        <w:rPr>
          <w:rFonts w:ascii="Garamond" w:eastAsia="Garamond" w:hAnsi="Garamond" w:cs="Garamond"/>
          <w:b/>
          <w:color w:val="000000"/>
        </w:rPr>
        <w:t>d</w:t>
      </w:r>
      <w:r w:rsidR="00843CB9" w:rsidRPr="00993785">
        <w:rPr>
          <w:rFonts w:ascii="Garamond" w:eastAsia="Garamond" w:hAnsi="Garamond" w:cs="Garamond"/>
          <w:b/>
          <w:color w:val="000000"/>
        </w:rPr>
        <w:t>eath’</w:t>
      </w:r>
      <w:r w:rsidRPr="00993785">
        <w:rPr>
          <w:rFonts w:ascii="Garamond" w:eastAsia="Garamond" w:hAnsi="Garamond" w:cs="Garamond"/>
          <w:b/>
          <w:color w:val="000000"/>
        </w:rPr>
        <w:t xml:space="preserve"> </w:t>
      </w:r>
      <w:r w:rsidRPr="00993785">
        <w:rPr>
          <w:rFonts w:ascii="Garamond" w:eastAsia="Garamond" w:hAnsi="Garamond" w:cs="Garamond"/>
          <w:color w:val="000000"/>
        </w:rPr>
        <w:t>(‘</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refers to cases in which a medical professional provides medical assistance to a patient aimed at hastening death. This assistance can take various forms: it might involve writing a prescription, administering an injection, or helping the patient ingest a substance. We intend our argument to extend to all of these practices. </w:t>
      </w:r>
      <w:r w:rsidR="00F0117B" w:rsidRPr="00993785">
        <w:rPr>
          <w:rFonts w:ascii="Garamond" w:eastAsia="Garamond" w:hAnsi="Garamond" w:cs="Garamond"/>
          <w:color w:val="000000"/>
        </w:rPr>
        <w:t>We</w:t>
      </w:r>
      <w:r w:rsidR="00E466FC">
        <w:rPr>
          <w:rFonts w:ascii="Garamond" w:eastAsia="Garamond" w:hAnsi="Garamond" w:cs="Garamond"/>
          <w:color w:val="000000"/>
        </w:rPr>
        <w:t xml:space="preserve"> wi</w:t>
      </w:r>
      <w:r w:rsidR="00F0117B" w:rsidRPr="00993785">
        <w:rPr>
          <w:rFonts w:ascii="Garamond" w:eastAsia="Garamond" w:hAnsi="Garamond" w:cs="Garamond"/>
          <w:color w:val="000000"/>
        </w:rPr>
        <w:t xml:space="preserve">ll also be discussing the means through which withdrawal </w:t>
      </w:r>
      <w:r w:rsidR="00C92D6B">
        <w:rPr>
          <w:rFonts w:ascii="Garamond" w:eastAsia="Garamond" w:hAnsi="Garamond" w:cs="Garamond"/>
          <w:color w:val="000000"/>
        </w:rPr>
        <w:t xml:space="preserve">of care </w:t>
      </w:r>
      <w:r w:rsidR="00F0117B" w:rsidRPr="00993785">
        <w:rPr>
          <w:rFonts w:ascii="Garamond" w:eastAsia="Garamond" w:hAnsi="Garamond" w:cs="Garamond"/>
          <w:color w:val="000000"/>
        </w:rPr>
        <w:t xml:space="preserve">and PAD may be requested: these procedures may be 1) </w:t>
      </w:r>
      <w:r w:rsidR="00F0117B" w:rsidRPr="00993785">
        <w:rPr>
          <w:rFonts w:ascii="Garamond" w:eastAsia="Garamond" w:hAnsi="Garamond" w:cs="Garamond"/>
          <w:b/>
          <w:color w:val="000000"/>
        </w:rPr>
        <w:t>patient-requested</w:t>
      </w:r>
      <w:r w:rsidR="00F0117B" w:rsidRPr="00993785">
        <w:rPr>
          <w:rFonts w:ascii="Garamond" w:eastAsia="Garamond" w:hAnsi="Garamond" w:cs="Garamond"/>
          <w:color w:val="000000"/>
        </w:rPr>
        <w:t xml:space="preserve">, if the patient competently requests them </w:t>
      </w:r>
      <w:r w:rsidR="00E57AD9" w:rsidRPr="00993785">
        <w:rPr>
          <w:rFonts w:ascii="Garamond" w:eastAsia="Garamond" w:hAnsi="Garamond" w:cs="Garamond"/>
          <w:color w:val="000000"/>
        </w:rPr>
        <w:t>at</w:t>
      </w:r>
      <w:r w:rsidR="00F0117B" w:rsidRPr="00993785">
        <w:rPr>
          <w:rFonts w:ascii="Garamond" w:eastAsia="Garamond" w:hAnsi="Garamond" w:cs="Garamond"/>
          <w:color w:val="000000"/>
        </w:rPr>
        <w:t xml:space="preserve"> the same time she receives them, 2) </w:t>
      </w:r>
      <w:r w:rsidR="00F0117B" w:rsidRPr="00993785">
        <w:rPr>
          <w:rFonts w:ascii="Garamond" w:eastAsia="Garamond" w:hAnsi="Garamond" w:cs="Garamond"/>
          <w:b/>
          <w:color w:val="000000"/>
        </w:rPr>
        <w:t>advance direct</w:t>
      </w:r>
      <w:r w:rsidR="00C92D6B">
        <w:rPr>
          <w:rFonts w:ascii="Garamond" w:eastAsia="Garamond" w:hAnsi="Garamond" w:cs="Garamond"/>
          <w:b/>
          <w:color w:val="000000"/>
        </w:rPr>
        <w:t>ive</w:t>
      </w:r>
      <w:r w:rsidR="00F0117B" w:rsidRPr="00993785">
        <w:rPr>
          <w:rFonts w:ascii="Garamond" w:eastAsia="Garamond" w:hAnsi="Garamond" w:cs="Garamond"/>
          <w:b/>
          <w:color w:val="000000"/>
        </w:rPr>
        <w:t>-requested</w:t>
      </w:r>
      <w:r w:rsidR="00F0117B" w:rsidRPr="00993785">
        <w:rPr>
          <w:rFonts w:ascii="Garamond" w:eastAsia="Garamond" w:hAnsi="Garamond" w:cs="Garamond"/>
          <w:color w:val="000000"/>
        </w:rPr>
        <w:t xml:space="preserve">, if the request is made in an advance directive or 3) </w:t>
      </w:r>
      <w:r w:rsidR="00F0117B" w:rsidRPr="00993785">
        <w:rPr>
          <w:rFonts w:ascii="Garamond" w:eastAsia="Garamond" w:hAnsi="Garamond" w:cs="Garamond"/>
          <w:b/>
          <w:color w:val="000000"/>
        </w:rPr>
        <w:t>surrogate-requested</w:t>
      </w:r>
      <w:r w:rsidR="00F0117B" w:rsidRPr="00993785">
        <w:rPr>
          <w:rFonts w:ascii="Garamond" w:eastAsia="Garamond" w:hAnsi="Garamond" w:cs="Garamond"/>
          <w:color w:val="000000"/>
        </w:rPr>
        <w:t xml:space="preserve">, if a third party makes the request on behalf of an incapacitated patient. </w:t>
      </w:r>
    </w:p>
    <w:p w14:paraId="0C844F07" w14:textId="2EA9F9A9" w:rsidR="00E91839" w:rsidRPr="00993785" w:rsidRDefault="00FD06F2" w:rsidP="00EA3155">
      <w:pPr>
        <w:spacing w:line="480" w:lineRule="auto"/>
        <w:jc w:val="both"/>
        <w:rPr>
          <w:rFonts w:ascii="Garamond" w:eastAsia="Garamond" w:hAnsi="Garamond" w:cs="Garamond"/>
          <w:color w:val="000000"/>
        </w:rPr>
      </w:pPr>
      <w:r w:rsidRPr="00993785">
        <w:rPr>
          <w:rFonts w:ascii="Garamond" w:eastAsia="Garamond" w:hAnsi="Garamond" w:cs="Garamond"/>
          <w:color w:val="000000"/>
        </w:rPr>
        <w:tab/>
      </w:r>
      <w:r w:rsidR="000D2237" w:rsidRPr="00993785">
        <w:rPr>
          <w:rFonts w:ascii="Garamond" w:eastAsia="Garamond" w:hAnsi="Garamond" w:cs="Garamond"/>
          <w:color w:val="000000"/>
        </w:rPr>
        <w:t xml:space="preserve">In this paper, we will be focusing on cases involving terminally ill patients who have become mentally incapacitated as a result of their illness. </w:t>
      </w:r>
      <w:r w:rsidR="00025509" w:rsidRPr="00993785">
        <w:rPr>
          <w:rFonts w:ascii="Garamond" w:eastAsia="Garamond" w:hAnsi="Garamond" w:cs="Garamond"/>
          <w:color w:val="000000"/>
        </w:rPr>
        <w:t xml:space="preserve">Furthermore, we restrict our discussion to patients who are mentally incapacitated because </w:t>
      </w:r>
      <w:r w:rsidR="00502F1A">
        <w:rPr>
          <w:rFonts w:ascii="Garamond" w:eastAsia="Garamond" w:hAnsi="Garamond" w:cs="Garamond"/>
          <w:color w:val="000000"/>
        </w:rPr>
        <w:t>of a terminal illness that has severely undermined their decisional capacities</w:t>
      </w:r>
      <w:r w:rsidR="000D2237" w:rsidRPr="00993785">
        <w:rPr>
          <w:rFonts w:ascii="Garamond" w:eastAsia="Garamond" w:hAnsi="Garamond" w:cs="Garamond"/>
          <w:color w:val="000000"/>
        </w:rPr>
        <w:t>.</w:t>
      </w:r>
      <w:r w:rsidR="00502F1A">
        <w:rPr>
          <w:rStyle w:val="FootnoteReference"/>
          <w:rFonts w:ascii="Garamond" w:eastAsia="Garamond" w:hAnsi="Garamond" w:cs="Garamond"/>
          <w:color w:val="000000"/>
        </w:rPr>
        <w:footnoteReference w:id="5"/>
      </w:r>
      <w:r w:rsidR="000D2237" w:rsidRPr="00993785">
        <w:rPr>
          <w:rFonts w:ascii="Garamond" w:eastAsia="Garamond" w:hAnsi="Garamond" w:cs="Garamond"/>
          <w:color w:val="000000"/>
        </w:rPr>
        <w:t xml:space="preserve"> We do not, at this time, intend for our argument to go beyond cases involving </w:t>
      </w:r>
      <w:r w:rsidR="000D2237" w:rsidRPr="00993785">
        <w:rPr>
          <w:rFonts w:ascii="Garamond" w:eastAsia="Garamond" w:hAnsi="Garamond" w:cs="Garamond"/>
          <w:color w:val="000000"/>
        </w:rPr>
        <w:lastRenderedPageBreak/>
        <w:t xml:space="preserve">terminal illness, nor are we focused on cases involving long-term mental disability. Our reasons for this restriction are threefold. First, </w:t>
      </w:r>
      <w:r w:rsidR="00811E95" w:rsidRPr="00993785">
        <w:rPr>
          <w:rFonts w:ascii="Garamond" w:eastAsia="Garamond" w:hAnsi="Garamond" w:cs="Garamond"/>
          <w:color w:val="000000"/>
        </w:rPr>
        <w:t>most</w:t>
      </w:r>
      <w:r w:rsidR="000D2237" w:rsidRPr="00993785">
        <w:rPr>
          <w:rFonts w:ascii="Garamond" w:eastAsia="Garamond" w:hAnsi="Garamond" w:cs="Garamond"/>
          <w:color w:val="000000"/>
        </w:rPr>
        <w:t xml:space="preserve"> countries</w:t>
      </w:r>
      <w:r w:rsidR="00811E95" w:rsidRPr="00993785">
        <w:rPr>
          <w:rFonts w:ascii="Garamond" w:eastAsia="Garamond" w:hAnsi="Garamond" w:cs="Garamond"/>
          <w:color w:val="000000"/>
        </w:rPr>
        <w:t xml:space="preserve">, including </w:t>
      </w:r>
      <w:r w:rsidR="00843CB9" w:rsidRPr="00993785">
        <w:rPr>
          <w:rFonts w:ascii="Garamond" w:eastAsia="Garamond" w:hAnsi="Garamond" w:cs="Garamond"/>
          <w:color w:val="000000"/>
        </w:rPr>
        <w:t>the United States and Canada</w:t>
      </w:r>
      <w:r w:rsidR="00811E95" w:rsidRPr="00993785">
        <w:rPr>
          <w:rFonts w:ascii="Garamond" w:eastAsia="Garamond" w:hAnsi="Garamond" w:cs="Garamond"/>
          <w:color w:val="000000"/>
        </w:rPr>
        <w:t xml:space="preserve">, </w:t>
      </w:r>
      <w:r w:rsidR="000D2237" w:rsidRPr="00993785">
        <w:rPr>
          <w:rFonts w:ascii="Garamond" w:eastAsia="Garamond" w:hAnsi="Garamond" w:cs="Garamond"/>
          <w:color w:val="000000"/>
        </w:rPr>
        <w:t xml:space="preserve">limit </w:t>
      </w:r>
      <w:r w:rsidR="00843CB9" w:rsidRPr="00993785">
        <w:rPr>
          <w:rFonts w:ascii="Garamond" w:eastAsia="Garamond" w:hAnsi="Garamond" w:cs="Garamond"/>
          <w:color w:val="000000"/>
        </w:rPr>
        <w:t>PAD</w:t>
      </w:r>
      <w:r w:rsidR="000D2237" w:rsidRPr="00993785">
        <w:rPr>
          <w:rFonts w:ascii="Garamond" w:eastAsia="Garamond" w:hAnsi="Garamond" w:cs="Garamond"/>
          <w:color w:val="000000"/>
        </w:rPr>
        <w:t xml:space="preserve"> to terminally ill patients. Second, even within the countries that allow </w:t>
      </w:r>
      <w:r w:rsidR="00843CB9" w:rsidRPr="00993785">
        <w:rPr>
          <w:rFonts w:ascii="Garamond" w:eastAsia="Garamond" w:hAnsi="Garamond" w:cs="Garamond"/>
          <w:color w:val="000000"/>
        </w:rPr>
        <w:t>PAD</w:t>
      </w:r>
      <w:r w:rsidR="000D2237" w:rsidRPr="00993785">
        <w:rPr>
          <w:rFonts w:ascii="Garamond" w:eastAsia="Garamond" w:hAnsi="Garamond" w:cs="Garamond"/>
          <w:color w:val="000000"/>
        </w:rPr>
        <w:t xml:space="preserve"> in cases of non-terminal illness, the majority of </w:t>
      </w:r>
      <w:r w:rsidR="00843CB9" w:rsidRPr="00993785">
        <w:rPr>
          <w:rFonts w:ascii="Garamond" w:eastAsia="Garamond" w:hAnsi="Garamond" w:cs="Garamond"/>
          <w:color w:val="000000"/>
        </w:rPr>
        <w:t>PAD</w:t>
      </w:r>
      <w:r w:rsidR="000D2237" w:rsidRPr="00993785">
        <w:rPr>
          <w:rFonts w:ascii="Garamond" w:eastAsia="Garamond" w:hAnsi="Garamond" w:cs="Garamond"/>
          <w:color w:val="000000"/>
        </w:rPr>
        <w:t xml:space="preserve"> recipients are terminally ill.</w:t>
      </w:r>
      <w:r w:rsidR="000D2237" w:rsidRPr="00993785">
        <w:rPr>
          <w:rFonts w:ascii="Garamond" w:eastAsia="Garamond" w:hAnsi="Garamond" w:cs="Garamond"/>
          <w:color w:val="000000"/>
          <w:vertAlign w:val="superscript"/>
        </w:rPr>
        <w:footnoteReference w:id="6"/>
      </w:r>
      <w:r w:rsidR="000D2237" w:rsidRPr="00993785">
        <w:rPr>
          <w:rFonts w:ascii="Garamond" w:eastAsia="Garamond" w:hAnsi="Garamond" w:cs="Garamond"/>
          <w:color w:val="000000"/>
        </w:rPr>
        <w:t xml:space="preserve"> Third, </w:t>
      </w:r>
      <w:r w:rsidR="0080605C">
        <w:rPr>
          <w:rFonts w:ascii="Garamond" w:eastAsia="Garamond" w:hAnsi="Garamond" w:cs="Garamond"/>
          <w:color w:val="000000"/>
        </w:rPr>
        <w:t>we think that cases involving non-terminal illness and mental disability</w:t>
      </w:r>
      <w:r w:rsidR="000D2237" w:rsidRPr="00993785">
        <w:rPr>
          <w:rFonts w:ascii="Garamond" w:eastAsia="Garamond" w:hAnsi="Garamond" w:cs="Garamond"/>
          <w:color w:val="000000"/>
        </w:rPr>
        <w:t xml:space="preserve"> present complications that </w:t>
      </w:r>
      <w:r w:rsidR="00721DEC" w:rsidRPr="00993785">
        <w:rPr>
          <w:rFonts w:ascii="Garamond" w:eastAsia="Garamond" w:hAnsi="Garamond" w:cs="Garamond"/>
          <w:color w:val="000000"/>
        </w:rPr>
        <w:t xml:space="preserve">we cannot </w:t>
      </w:r>
      <w:r w:rsidR="0080605C">
        <w:rPr>
          <w:rFonts w:ascii="Garamond" w:eastAsia="Garamond" w:hAnsi="Garamond" w:cs="Garamond"/>
          <w:color w:val="000000"/>
        </w:rPr>
        <w:t xml:space="preserve">adequately </w:t>
      </w:r>
      <w:r w:rsidR="00721DEC" w:rsidRPr="00993785">
        <w:rPr>
          <w:rFonts w:ascii="Garamond" w:eastAsia="Garamond" w:hAnsi="Garamond" w:cs="Garamond"/>
          <w:color w:val="000000"/>
        </w:rPr>
        <w:t>consider here.</w:t>
      </w:r>
      <w:r w:rsidR="000D2237" w:rsidRPr="00993785">
        <w:rPr>
          <w:rFonts w:ascii="Garamond" w:eastAsia="Garamond" w:hAnsi="Garamond" w:cs="Garamond"/>
          <w:color w:val="000000"/>
        </w:rPr>
        <w:t xml:space="preserve"> </w:t>
      </w:r>
    </w:p>
    <w:p w14:paraId="4AD88334" w14:textId="60014EDF" w:rsidR="00E91839" w:rsidRPr="00993785" w:rsidRDefault="00721DEC" w:rsidP="00EA3155">
      <w:pPr>
        <w:spacing w:line="480" w:lineRule="auto"/>
        <w:ind w:firstLine="720"/>
        <w:jc w:val="both"/>
        <w:rPr>
          <w:rFonts w:ascii="Garamond" w:eastAsia="Garamond" w:hAnsi="Garamond" w:cs="Garamond"/>
          <w:color w:val="000000"/>
        </w:rPr>
      </w:pPr>
      <w:r w:rsidRPr="00993785">
        <w:rPr>
          <w:rFonts w:ascii="Garamond" w:eastAsia="Garamond" w:hAnsi="Garamond" w:cs="Garamond"/>
          <w:color w:val="000000"/>
        </w:rPr>
        <w:t>We</w:t>
      </w:r>
      <w:r w:rsidR="000D2237" w:rsidRPr="00993785">
        <w:rPr>
          <w:rFonts w:ascii="Garamond" w:eastAsia="Garamond" w:hAnsi="Garamond" w:cs="Garamond"/>
          <w:color w:val="000000"/>
        </w:rPr>
        <w:t xml:space="preserve"> will not be arguing for the permissibility of </w:t>
      </w:r>
      <w:r w:rsidR="00AD482A" w:rsidRPr="00993785">
        <w:rPr>
          <w:rFonts w:ascii="Garamond" w:eastAsia="Garamond" w:hAnsi="Garamond" w:cs="Garamond"/>
          <w:color w:val="000000"/>
        </w:rPr>
        <w:t xml:space="preserve">patient-requested </w:t>
      </w:r>
      <w:r w:rsidR="00843CB9" w:rsidRPr="00993785">
        <w:rPr>
          <w:rFonts w:ascii="Garamond" w:eastAsia="Garamond" w:hAnsi="Garamond" w:cs="Garamond"/>
          <w:color w:val="000000"/>
        </w:rPr>
        <w:t>PAD</w:t>
      </w:r>
      <w:r w:rsidR="000D2237" w:rsidRPr="00993785">
        <w:rPr>
          <w:rFonts w:ascii="Garamond" w:eastAsia="Garamond" w:hAnsi="Garamond" w:cs="Garamond"/>
          <w:color w:val="000000"/>
        </w:rPr>
        <w:t xml:space="preserve">. Instead, we will </w:t>
      </w:r>
      <w:r w:rsidR="00811E95" w:rsidRPr="00993785">
        <w:rPr>
          <w:rFonts w:ascii="Garamond" w:eastAsia="Garamond" w:hAnsi="Garamond" w:cs="Garamond"/>
          <w:color w:val="000000"/>
        </w:rPr>
        <w:t>assume</w:t>
      </w:r>
      <w:r w:rsidR="000D2237" w:rsidRPr="00993785">
        <w:rPr>
          <w:rFonts w:ascii="Garamond" w:eastAsia="Garamond" w:hAnsi="Garamond" w:cs="Garamond"/>
          <w:color w:val="000000"/>
        </w:rPr>
        <w:t xml:space="preserve"> that </w:t>
      </w:r>
      <w:r w:rsidR="000B27E5" w:rsidRPr="00993785">
        <w:rPr>
          <w:rFonts w:ascii="Garamond" w:eastAsia="Garamond" w:hAnsi="Garamond" w:cs="Garamond"/>
          <w:color w:val="000000"/>
        </w:rPr>
        <w:t>physician</w:t>
      </w:r>
      <w:r w:rsidR="00E466FC">
        <w:rPr>
          <w:rFonts w:ascii="Garamond" w:eastAsia="Garamond" w:hAnsi="Garamond" w:cs="Garamond"/>
          <w:color w:val="000000"/>
        </w:rPr>
        <w:t>-</w:t>
      </w:r>
      <w:r w:rsidR="000B27E5" w:rsidRPr="00993785">
        <w:rPr>
          <w:rFonts w:ascii="Garamond" w:eastAsia="Garamond" w:hAnsi="Garamond" w:cs="Garamond"/>
          <w:color w:val="000000"/>
        </w:rPr>
        <w:t>assisted death</w:t>
      </w:r>
      <w:r w:rsidR="00D60184" w:rsidRPr="00993785">
        <w:rPr>
          <w:rFonts w:ascii="Garamond" w:eastAsia="Garamond" w:hAnsi="Garamond" w:cs="Garamond"/>
          <w:color w:val="000000"/>
        </w:rPr>
        <w:t xml:space="preserve"> </w:t>
      </w:r>
      <w:r w:rsidR="00FD06F2" w:rsidRPr="00993785">
        <w:rPr>
          <w:rFonts w:ascii="Garamond" w:eastAsia="Garamond" w:hAnsi="Garamond" w:cs="Garamond"/>
          <w:color w:val="000000"/>
        </w:rPr>
        <w:t xml:space="preserve">is </w:t>
      </w:r>
      <w:r w:rsidR="00FD06F2" w:rsidRPr="00993785">
        <w:rPr>
          <w:rFonts w:ascii="Garamond" w:eastAsia="Garamond" w:hAnsi="Garamond" w:cs="Garamond"/>
          <w:i/>
          <w:color w:val="000000"/>
        </w:rPr>
        <w:t xml:space="preserve">prima facie </w:t>
      </w:r>
      <w:r w:rsidR="00FD06F2" w:rsidRPr="00993785">
        <w:rPr>
          <w:rFonts w:ascii="Garamond" w:eastAsia="Garamond" w:hAnsi="Garamond" w:cs="Garamond"/>
          <w:color w:val="000000"/>
        </w:rPr>
        <w:t xml:space="preserve">permissible </w:t>
      </w:r>
      <w:r w:rsidR="000D2237" w:rsidRPr="00993785">
        <w:rPr>
          <w:rFonts w:ascii="Garamond" w:eastAsia="Garamond" w:hAnsi="Garamond" w:cs="Garamond"/>
          <w:color w:val="000000"/>
        </w:rPr>
        <w:t xml:space="preserve">in cases involving terminal illness. Nevertheless, it is worth noting that arguments for the </w:t>
      </w:r>
      <w:r w:rsidR="000D2237" w:rsidRPr="00993785">
        <w:rPr>
          <w:rFonts w:ascii="Garamond" w:eastAsia="Garamond" w:hAnsi="Garamond" w:cs="Garamond"/>
          <w:i/>
          <w:color w:val="000000"/>
        </w:rPr>
        <w:t>prima facie</w:t>
      </w:r>
      <w:r w:rsidR="000D2237" w:rsidRPr="00993785">
        <w:rPr>
          <w:rFonts w:ascii="Garamond" w:eastAsia="Garamond" w:hAnsi="Garamond" w:cs="Garamond"/>
          <w:color w:val="000000"/>
        </w:rPr>
        <w:t xml:space="preserve"> permissibility of </w:t>
      </w:r>
      <w:r w:rsidR="00AD482A" w:rsidRPr="00993785">
        <w:rPr>
          <w:rFonts w:ascii="Garamond" w:eastAsia="Garamond" w:hAnsi="Garamond" w:cs="Garamond"/>
          <w:color w:val="000000"/>
        </w:rPr>
        <w:t xml:space="preserve">patient-requested </w:t>
      </w:r>
      <w:r w:rsidR="00843CB9" w:rsidRPr="00993785">
        <w:rPr>
          <w:rFonts w:ascii="Garamond" w:eastAsia="Garamond" w:hAnsi="Garamond" w:cs="Garamond"/>
          <w:color w:val="000000"/>
        </w:rPr>
        <w:t>PAD</w:t>
      </w:r>
      <w:r w:rsidR="000D2237" w:rsidRPr="00993785">
        <w:rPr>
          <w:rFonts w:ascii="Garamond" w:eastAsia="Garamond" w:hAnsi="Garamond" w:cs="Garamond"/>
          <w:color w:val="000000"/>
        </w:rPr>
        <w:t xml:space="preserve"> typically make two sorts of appeals: to patient autonomy</w:t>
      </w:r>
      <w:r w:rsidR="00DA32A9" w:rsidRPr="00993785">
        <w:rPr>
          <w:rStyle w:val="FootnoteReference"/>
          <w:rFonts w:ascii="Garamond" w:eastAsia="Garamond" w:hAnsi="Garamond" w:cs="Garamond"/>
          <w:color w:val="000000"/>
        </w:rPr>
        <w:footnoteReference w:id="7"/>
      </w:r>
      <w:r w:rsidR="000D2237" w:rsidRPr="00993785">
        <w:rPr>
          <w:rFonts w:ascii="Garamond" w:eastAsia="Garamond" w:hAnsi="Garamond" w:cs="Garamond"/>
          <w:color w:val="000000"/>
        </w:rPr>
        <w:t xml:space="preserve"> and to patient interests.</w:t>
      </w:r>
      <w:r w:rsidR="00DA32A9" w:rsidRPr="00993785">
        <w:rPr>
          <w:rStyle w:val="FootnoteReference"/>
          <w:rFonts w:ascii="Garamond" w:eastAsia="Garamond" w:hAnsi="Garamond" w:cs="Garamond"/>
          <w:color w:val="000000"/>
        </w:rPr>
        <w:footnoteReference w:id="8"/>
      </w:r>
      <w:r w:rsidR="000D2237" w:rsidRPr="00993785">
        <w:rPr>
          <w:rFonts w:ascii="Garamond" w:eastAsia="Garamond" w:hAnsi="Garamond" w:cs="Garamond"/>
          <w:color w:val="000000"/>
        </w:rPr>
        <w:t xml:space="preserve"> The appeal to patient autonomy proceeds as follows: we, as autonomous agents, have a broad right to determine what happens to our bodies, and this right extends so far as to </w:t>
      </w:r>
      <w:r w:rsidR="00D60184" w:rsidRPr="00993785">
        <w:rPr>
          <w:rFonts w:ascii="Garamond" w:eastAsia="Garamond" w:hAnsi="Garamond" w:cs="Garamond"/>
          <w:color w:val="000000"/>
        </w:rPr>
        <w:t>give us the right</w:t>
      </w:r>
      <w:r w:rsidR="000D2237" w:rsidRPr="00993785">
        <w:rPr>
          <w:rFonts w:ascii="Garamond" w:eastAsia="Garamond" w:hAnsi="Garamond" w:cs="Garamond"/>
          <w:color w:val="000000"/>
        </w:rPr>
        <w:t xml:space="preserve"> to decide whether to live or die. The appeal to patient interests points out </w:t>
      </w:r>
      <w:r w:rsidR="00D60184" w:rsidRPr="00993785">
        <w:rPr>
          <w:rFonts w:ascii="Garamond" w:eastAsia="Garamond" w:hAnsi="Garamond" w:cs="Garamond"/>
          <w:color w:val="000000"/>
        </w:rPr>
        <w:t xml:space="preserve">that quality of life </w:t>
      </w:r>
      <w:r w:rsidR="00076F51" w:rsidRPr="00993785">
        <w:rPr>
          <w:rFonts w:ascii="Garamond" w:eastAsia="Garamond" w:hAnsi="Garamond" w:cs="Garamond"/>
          <w:color w:val="000000"/>
        </w:rPr>
        <w:t xml:space="preserve">before natural death </w:t>
      </w:r>
      <w:r w:rsidR="00D60184" w:rsidRPr="00993785">
        <w:rPr>
          <w:rFonts w:ascii="Garamond" w:eastAsia="Garamond" w:hAnsi="Garamond" w:cs="Garamond"/>
          <w:color w:val="000000"/>
        </w:rPr>
        <w:t xml:space="preserve">may dip so low </w:t>
      </w:r>
      <w:r w:rsidR="00076F51" w:rsidRPr="00993785">
        <w:rPr>
          <w:rFonts w:ascii="Garamond" w:eastAsia="Garamond" w:hAnsi="Garamond" w:cs="Garamond"/>
          <w:color w:val="000000"/>
        </w:rPr>
        <w:t xml:space="preserve">as </w:t>
      </w:r>
      <w:r w:rsidR="00D60184" w:rsidRPr="00993785">
        <w:rPr>
          <w:rFonts w:ascii="Garamond" w:eastAsia="Garamond" w:hAnsi="Garamond" w:cs="Garamond"/>
          <w:color w:val="000000"/>
        </w:rPr>
        <w:t xml:space="preserve">to make continued existence a </w:t>
      </w:r>
      <w:r w:rsidR="00FA5798">
        <w:rPr>
          <w:rFonts w:ascii="Garamond" w:eastAsia="Garamond" w:hAnsi="Garamond" w:cs="Garamond"/>
          <w:color w:val="000000"/>
        </w:rPr>
        <w:t>harm</w:t>
      </w:r>
      <w:r w:rsidR="00D60184" w:rsidRPr="00993785">
        <w:rPr>
          <w:rFonts w:ascii="Garamond" w:eastAsia="Garamond" w:hAnsi="Garamond" w:cs="Garamond"/>
          <w:color w:val="000000"/>
        </w:rPr>
        <w:t xml:space="preserve">. </w:t>
      </w:r>
      <w:r w:rsidR="000D2237" w:rsidRPr="00993785">
        <w:rPr>
          <w:rFonts w:ascii="Garamond" w:eastAsia="Garamond" w:hAnsi="Garamond" w:cs="Garamond"/>
          <w:color w:val="000000"/>
        </w:rPr>
        <w:t xml:space="preserve">If there is some amount of suffering that could make a life not worth living, then </w:t>
      </w:r>
      <w:r w:rsidR="00843CB9" w:rsidRPr="00993785">
        <w:rPr>
          <w:rFonts w:ascii="Garamond" w:eastAsia="Garamond" w:hAnsi="Garamond" w:cs="Garamond"/>
          <w:color w:val="000000"/>
        </w:rPr>
        <w:t>PAD</w:t>
      </w:r>
      <w:r w:rsidR="000D2237" w:rsidRPr="00993785">
        <w:rPr>
          <w:rFonts w:ascii="Garamond" w:eastAsia="Garamond" w:hAnsi="Garamond" w:cs="Garamond"/>
          <w:color w:val="000000"/>
        </w:rPr>
        <w:t xml:space="preserve"> is </w:t>
      </w:r>
      <w:r w:rsidR="00FA5798">
        <w:rPr>
          <w:rFonts w:ascii="Garamond" w:eastAsia="Garamond" w:hAnsi="Garamond" w:cs="Garamond"/>
          <w:color w:val="000000"/>
        </w:rPr>
        <w:t>sometimes</w:t>
      </w:r>
      <w:r w:rsidR="00811E95" w:rsidRPr="00993785">
        <w:rPr>
          <w:rFonts w:ascii="Garamond" w:eastAsia="Garamond" w:hAnsi="Garamond" w:cs="Garamond"/>
          <w:color w:val="000000"/>
        </w:rPr>
        <w:t xml:space="preserve"> </w:t>
      </w:r>
      <w:r w:rsidR="000D2237" w:rsidRPr="00993785">
        <w:rPr>
          <w:rFonts w:ascii="Garamond" w:eastAsia="Garamond" w:hAnsi="Garamond" w:cs="Garamond"/>
          <w:color w:val="000000"/>
        </w:rPr>
        <w:t>morally acceptable on grounds of beneficence.</w:t>
      </w:r>
    </w:p>
    <w:p w14:paraId="40C2743A" w14:textId="77777777" w:rsidR="005C70BF" w:rsidRPr="00993785" w:rsidRDefault="005C70BF" w:rsidP="00EA3155">
      <w:pPr>
        <w:spacing w:line="480" w:lineRule="auto"/>
        <w:ind w:firstLine="720"/>
        <w:jc w:val="both"/>
        <w:rPr>
          <w:rFonts w:ascii="Garamond" w:eastAsia="Times New Roman" w:hAnsi="Garamond" w:cs="Times New Roman"/>
        </w:rPr>
      </w:pPr>
    </w:p>
    <w:p w14:paraId="7F640165" w14:textId="7CAEF214" w:rsidR="00F72E1A" w:rsidRPr="00993785" w:rsidRDefault="00F72E1A" w:rsidP="00EA3155">
      <w:pPr>
        <w:spacing w:line="480" w:lineRule="auto"/>
        <w:jc w:val="both"/>
        <w:outlineLvl w:val="0"/>
        <w:rPr>
          <w:rFonts w:ascii="Garamond" w:eastAsia="Times New Roman" w:hAnsi="Garamond" w:cs="Times New Roman"/>
        </w:rPr>
      </w:pPr>
      <w:r w:rsidRPr="00993785">
        <w:rPr>
          <w:rFonts w:ascii="Garamond" w:eastAsia="Garamond" w:hAnsi="Garamond" w:cs="Garamond"/>
          <w:b/>
          <w:color w:val="000000"/>
          <w:sz w:val="28"/>
          <w:szCs w:val="28"/>
        </w:rPr>
        <w:t xml:space="preserve">Section 2: </w:t>
      </w:r>
      <w:r w:rsidR="005C70BF" w:rsidRPr="00993785">
        <w:rPr>
          <w:rFonts w:ascii="Garamond" w:eastAsia="Garamond" w:hAnsi="Garamond" w:cs="Garamond"/>
          <w:b/>
          <w:color w:val="000000"/>
          <w:sz w:val="28"/>
          <w:szCs w:val="28"/>
        </w:rPr>
        <w:t>Why</w:t>
      </w:r>
      <w:r w:rsidRPr="00993785">
        <w:rPr>
          <w:rFonts w:ascii="Garamond" w:eastAsia="Garamond" w:hAnsi="Garamond" w:cs="Garamond"/>
          <w:b/>
          <w:color w:val="000000"/>
          <w:sz w:val="28"/>
          <w:szCs w:val="28"/>
        </w:rPr>
        <w:t xml:space="preserve"> </w:t>
      </w:r>
      <w:r w:rsidR="0012736B" w:rsidRPr="00993785">
        <w:rPr>
          <w:rFonts w:ascii="Garamond" w:eastAsia="Garamond" w:hAnsi="Garamond" w:cs="Garamond"/>
          <w:b/>
          <w:color w:val="000000"/>
          <w:sz w:val="28"/>
          <w:szCs w:val="28"/>
        </w:rPr>
        <w:t>Advance Directive-Requested PAD is Permissible</w:t>
      </w:r>
    </w:p>
    <w:p w14:paraId="41E5876F" w14:textId="2D3BAC29" w:rsidR="00204C6A" w:rsidRPr="00993785" w:rsidRDefault="00F72E1A" w:rsidP="00EA3155">
      <w:pPr>
        <w:spacing w:line="480" w:lineRule="auto"/>
        <w:jc w:val="both"/>
        <w:rPr>
          <w:rFonts w:ascii="Garamond" w:eastAsia="Garamond" w:hAnsi="Garamond" w:cs="Garamond"/>
          <w:color w:val="000000"/>
        </w:rPr>
      </w:pPr>
      <w:r w:rsidRPr="00993785">
        <w:rPr>
          <w:rFonts w:ascii="Garamond" w:eastAsia="Garamond" w:hAnsi="Garamond" w:cs="Garamond"/>
          <w:color w:val="000000"/>
        </w:rPr>
        <w:t xml:space="preserve">In this section, we aim to show that if it is permissible for patients to request </w:t>
      </w:r>
      <w:r w:rsidR="00843CB9" w:rsidRPr="00993785">
        <w:rPr>
          <w:rFonts w:ascii="Garamond" w:eastAsia="Garamond" w:hAnsi="Garamond" w:cs="Garamond"/>
          <w:color w:val="000000"/>
        </w:rPr>
        <w:t>PAD</w:t>
      </w:r>
      <w:r w:rsidR="0012736B" w:rsidRPr="00993785">
        <w:rPr>
          <w:rFonts w:ascii="Garamond" w:eastAsia="Garamond" w:hAnsi="Garamond" w:cs="Garamond"/>
          <w:color w:val="000000"/>
        </w:rPr>
        <w:t xml:space="preserve"> directly</w:t>
      </w:r>
      <w:r w:rsidRPr="00993785">
        <w:rPr>
          <w:rFonts w:ascii="Garamond" w:eastAsia="Garamond" w:hAnsi="Garamond" w:cs="Garamond"/>
          <w:color w:val="000000"/>
        </w:rPr>
        <w:t xml:space="preserve"> (</w:t>
      </w:r>
      <w:r w:rsidRPr="00993785">
        <w:rPr>
          <w:rFonts w:ascii="Garamond" w:eastAsia="Garamond" w:hAnsi="Garamond" w:cs="Garamond"/>
          <w:smallCaps/>
          <w:color w:val="000000"/>
        </w:rPr>
        <w:t xml:space="preserve">Permissible Patient </w:t>
      </w:r>
      <w:r w:rsidR="00843CB9" w:rsidRPr="00993785">
        <w:rPr>
          <w:rFonts w:ascii="Garamond" w:eastAsia="Garamond" w:hAnsi="Garamond" w:cs="Garamond"/>
          <w:smallCaps/>
          <w:color w:val="000000"/>
        </w:rPr>
        <w:t>PAD</w:t>
      </w:r>
      <w:r w:rsidRPr="00993785">
        <w:rPr>
          <w:rFonts w:ascii="Garamond" w:eastAsia="Garamond" w:hAnsi="Garamond" w:cs="Garamond"/>
          <w:color w:val="000000"/>
        </w:rPr>
        <w:t>), and it is permissible for patients to request withdrawal of life-sustaining care via an advance directive (</w:t>
      </w:r>
      <w:r w:rsidRPr="00993785">
        <w:rPr>
          <w:rFonts w:ascii="Garamond" w:eastAsia="Garamond" w:hAnsi="Garamond" w:cs="Garamond"/>
          <w:smallCaps/>
          <w:color w:val="000000"/>
        </w:rPr>
        <w:t>Permissible Advance Withdrawal</w:t>
      </w:r>
      <w:r w:rsidRPr="00993785">
        <w:rPr>
          <w:rFonts w:ascii="Garamond" w:eastAsia="Garamond" w:hAnsi="Garamond" w:cs="Garamond"/>
          <w:color w:val="000000"/>
        </w:rPr>
        <w:t xml:space="preserve">), then it is also permissible for patients to request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via an advance directive (</w:t>
      </w:r>
      <w:r w:rsidRPr="00993785">
        <w:rPr>
          <w:rFonts w:ascii="Garamond" w:eastAsia="Garamond" w:hAnsi="Garamond" w:cs="Garamond"/>
          <w:smallCaps/>
          <w:color w:val="000000"/>
        </w:rPr>
        <w:t xml:space="preserve">Permissible Advance </w:t>
      </w:r>
      <w:r w:rsidR="00843CB9" w:rsidRPr="00993785">
        <w:rPr>
          <w:rFonts w:ascii="Garamond" w:eastAsia="Garamond" w:hAnsi="Garamond" w:cs="Garamond"/>
          <w:smallCaps/>
          <w:color w:val="000000"/>
        </w:rPr>
        <w:t>PAD</w:t>
      </w:r>
      <w:r w:rsidRPr="00993785">
        <w:rPr>
          <w:rFonts w:ascii="Garamond" w:eastAsia="Garamond" w:hAnsi="Garamond" w:cs="Garamond"/>
          <w:color w:val="000000"/>
        </w:rPr>
        <w:t>). We</w:t>
      </w:r>
      <w:r w:rsidR="00E466FC">
        <w:rPr>
          <w:rFonts w:ascii="Garamond" w:eastAsia="Garamond" w:hAnsi="Garamond" w:cs="Garamond"/>
          <w:color w:val="000000"/>
        </w:rPr>
        <w:t xml:space="preserve"> wi</w:t>
      </w:r>
      <w:r w:rsidRPr="00993785">
        <w:rPr>
          <w:rFonts w:ascii="Garamond" w:eastAsia="Garamond" w:hAnsi="Garamond" w:cs="Garamond"/>
          <w:color w:val="000000"/>
        </w:rPr>
        <w:t xml:space="preserve">ll offer a first pass at this argument, and will then consider (and reject) various objections. </w:t>
      </w:r>
    </w:p>
    <w:p w14:paraId="37A77DEA" w14:textId="77777777" w:rsidR="00AA375F" w:rsidRPr="00993785" w:rsidRDefault="00AA375F" w:rsidP="00EA3155">
      <w:pPr>
        <w:spacing w:line="480" w:lineRule="auto"/>
        <w:jc w:val="both"/>
        <w:rPr>
          <w:rFonts w:ascii="Garamond" w:eastAsia="Garamond" w:hAnsi="Garamond" w:cs="Garamond"/>
          <w:color w:val="000000"/>
        </w:rPr>
      </w:pPr>
    </w:p>
    <w:p w14:paraId="3AFD22A1" w14:textId="77777777" w:rsidR="00F72E1A" w:rsidRPr="00993785" w:rsidRDefault="00F72E1A" w:rsidP="00EA3155">
      <w:pPr>
        <w:spacing w:line="480" w:lineRule="auto"/>
        <w:jc w:val="both"/>
        <w:outlineLvl w:val="0"/>
        <w:rPr>
          <w:rFonts w:ascii="Garamond" w:eastAsia="Garamond" w:hAnsi="Garamond" w:cs="Garamond"/>
          <w:b/>
          <w:color w:val="000000"/>
        </w:rPr>
      </w:pPr>
      <w:r w:rsidRPr="00993785">
        <w:rPr>
          <w:rFonts w:ascii="Garamond" w:eastAsia="Garamond" w:hAnsi="Garamond" w:cs="Garamond"/>
          <w:b/>
          <w:color w:val="000000"/>
        </w:rPr>
        <w:t>2.1—The Argument</w:t>
      </w:r>
    </w:p>
    <w:p w14:paraId="1C265FF2" w14:textId="654870FE" w:rsidR="00F72E1A" w:rsidRPr="00993785" w:rsidRDefault="00F72E1A" w:rsidP="00EA3155">
      <w:pPr>
        <w:spacing w:line="480" w:lineRule="auto"/>
        <w:jc w:val="both"/>
        <w:rPr>
          <w:rFonts w:ascii="Garamond" w:eastAsia="Garamond" w:hAnsi="Garamond" w:cs="Garamond"/>
          <w:color w:val="000000"/>
        </w:rPr>
      </w:pPr>
      <w:r w:rsidRPr="00993785">
        <w:rPr>
          <w:rFonts w:ascii="Garamond" w:eastAsia="Garamond" w:hAnsi="Garamond" w:cs="Garamond"/>
          <w:color w:val="000000"/>
        </w:rPr>
        <w:t>Let</w:t>
      </w:r>
      <w:r w:rsidR="005437AD">
        <w:rPr>
          <w:rFonts w:ascii="Garamond" w:eastAsia="Garamond" w:hAnsi="Garamond" w:cs="Garamond"/>
          <w:color w:val="000000"/>
        </w:rPr>
        <w:t xml:space="preserve"> u</w:t>
      </w:r>
      <w:r w:rsidRPr="00993785">
        <w:rPr>
          <w:rFonts w:ascii="Garamond" w:eastAsia="Garamond" w:hAnsi="Garamond" w:cs="Garamond"/>
          <w:color w:val="000000"/>
        </w:rPr>
        <w:t xml:space="preserve">s begin by looking at a particularly ideal </w:t>
      </w:r>
      <w:r w:rsidR="00657628" w:rsidRPr="00993785">
        <w:rPr>
          <w:rFonts w:ascii="Garamond" w:eastAsia="Garamond" w:hAnsi="Garamond" w:cs="Garamond"/>
          <w:color w:val="000000"/>
        </w:rPr>
        <w:t>request for medical aid in dying</w:t>
      </w:r>
      <w:r w:rsidRPr="00993785">
        <w:rPr>
          <w:rFonts w:ascii="Garamond" w:eastAsia="Garamond" w:hAnsi="Garamond" w:cs="Garamond"/>
          <w:color w:val="000000"/>
        </w:rPr>
        <w:t>:</w:t>
      </w:r>
    </w:p>
    <w:p w14:paraId="073B7825" w14:textId="46B98B83" w:rsidR="00F72E1A" w:rsidRPr="00993785" w:rsidRDefault="00AD482A" w:rsidP="00EA3155">
      <w:pPr>
        <w:ind w:left="720"/>
        <w:jc w:val="both"/>
        <w:rPr>
          <w:rFonts w:ascii="Garamond" w:eastAsia="Times New Roman" w:hAnsi="Garamond" w:cs="Times New Roman"/>
        </w:rPr>
      </w:pPr>
      <w:r w:rsidRPr="00993785">
        <w:rPr>
          <w:rFonts w:ascii="Garamond" w:eastAsia="Garamond" w:hAnsi="Garamond" w:cs="Garamond"/>
          <w:b/>
          <w:smallCaps/>
          <w:color w:val="000000"/>
        </w:rPr>
        <w:t>Albert</w:t>
      </w:r>
      <w:r w:rsidR="00F72E1A" w:rsidRPr="00993785">
        <w:rPr>
          <w:rFonts w:ascii="Garamond" w:eastAsia="Garamond" w:hAnsi="Garamond" w:cs="Garamond"/>
          <w:b/>
          <w:color w:val="000000"/>
        </w:rPr>
        <w:t xml:space="preserve">: </w:t>
      </w:r>
      <w:r w:rsidRPr="00993785">
        <w:rPr>
          <w:rFonts w:ascii="Garamond" w:eastAsia="Garamond" w:hAnsi="Garamond" w:cs="Garamond"/>
          <w:color w:val="000000"/>
        </w:rPr>
        <w:t xml:space="preserve">Albert </w:t>
      </w:r>
      <w:r w:rsidR="00F72E1A" w:rsidRPr="00993785">
        <w:rPr>
          <w:rFonts w:ascii="Garamond" w:eastAsia="Garamond" w:hAnsi="Garamond" w:cs="Garamond"/>
          <w:color w:val="000000"/>
        </w:rPr>
        <w:t>has been diagnosed with terminal cancer</w:t>
      </w:r>
      <w:r w:rsidR="008879D5" w:rsidRPr="00993785">
        <w:rPr>
          <w:rFonts w:ascii="Garamond" w:eastAsia="Garamond" w:hAnsi="Garamond" w:cs="Garamond"/>
          <w:color w:val="000000"/>
        </w:rPr>
        <w:t>, with a life expectancy of less than six months</w:t>
      </w:r>
      <w:r w:rsidR="00F72E1A" w:rsidRPr="00993785">
        <w:rPr>
          <w:rFonts w:ascii="Garamond" w:eastAsia="Garamond" w:hAnsi="Garamond" w:cs="Garamond"/>
          <w:color w:val="000000"/>
        </w:rPr>
        <w:t xml:space="preserve">. Since his diagnosis, </w:t>
      </w:r>
      <w:r w:rsidRPr="00993785">
        <w:rPr>
          <w:rFonts w:ascii="Garamond" w:eastAsia="Garamond" w:hAnsi="Garamond" w:cs="Garamond"/>
          <w:color w:val="000000"/>
        </w:rPr>
        <w:t xml:space="preserve">Albert </w:t>
      </w:r>
      <w:r w:rsidR="00F72E1A" w:rsidRPr="00993785">
        <w:rPr>
          <w:rFonts w:ascii="Garamond" w:eastAsia="Garamond" w:hAnsi="Garamond" w:cs="Garamond"/>
          <w:color w:val="000000"/>
        </w:rPr>
        <w:t xml:space="preserve">has found his quality of life </w:t>
      </w:r>
      <w:r w:rsidR="00E466FC">
        <w:rPr>
          <w:rFonts w:ascii="Garamond" w:eastAsia="Garamond" w:hAnsi="Garamond" w:cs="Garamond"/>
          <w:color w:val="000000"/>
        </w:rPr>
        <w:t xml:space="preserve">to be </w:t>
      </w:r>
      <w:r w:rsidR="00F72E1A" w:rsidRPr="00993785">
        <w:rPr>
          <w:rFonts w:ascii="Garamond" w:eastAsia="Garamond" w:hAnsi="Garamond" w:cs="Garamond"/>
          <w:color w:val="000000"/>
        </w:rPr>
        <w:t xml:space="preserve">steadily decreasing due to pain and impairment. Knowing that his level of pain and impairment will only increase, </w:t>
      </w:r>
      <w:r w:rsidRPr="00993785">
        <w:rPr>
          <w:rFonts w:ascii="Garamond" w:eastAsia="Garamond" w:hAnsi="Garamond" w:cs="Garamond"/>
          <w:color w:val="000000"/>
        </w:rPr>
        <w:t xml:space="preserve">Albert </w:t>
      </w:r>
      <w:r w:rsidR="00F72E1A" w:rsidRPr="00993785">
        <w:rPr>
          <w:rFonts w:ascii="Garamond" w:eastAsia="Garamond" w:hAnsi="Garamond" w:cs="Garamond"/>
          <w:color w:val="000000"/>
        </w:rPr>
        <w:t xml:space="preserve">requests </w:t>
      </w:r>
      <w:r w:rsidR="00843CB9" w:rsidRPr="00993785">
        <w:rPr>
          <w:rFonts w:ascii="Garamond" w:eastAsia="Garamond" w:hAnsi="Garamond" w:cs="Garamond"/>
          <w:color w:val="000000"/>
        </w:rPr>
        <w:t>PAD</w:t>
      </w:r>
      <w:r w:rsidR="00F72E1A" w:rsidRPr="00993785">
        <w:rPr>
          <w:rFonts w:ascii="Garamond" w:eastAsia="Garamond" w:hAnsi="Garamond" w:cs="Garamond"/>
          <w:color w:val="000000"/>
        </w:rPr>
        <w:t xml:space="preserve">. His request is granted after being reviewed by two psychiatrists. A few months after his diagnosis, a doctor comes to </w:t>
      </w:r>
      <w:r w:rsidRPr="00993785">
        <w:rPr>
          <w:rFonts w:ascii="Garamond" w:eastAsia="Garamond" w:hAnsi="Garamond" w:cs="Garamond"/>
          <w:color w:val="000000"/>
        </w:rPr>
        <w:t xml:space="preserve">Albert’s </w:t>
      </w:r>
      <w:r w:rsidR="00F72E1A" w:rsidRPr="00993785">
        <w:rPr>
          <w:rFonts w:ascii="Garamond" w:eastAsia="Garamond" w:hAnsi="Garamond" w:cs="Garamond"/>
          <w:color w:val="000000"/>
        </w:rPr>
        <w:t xml:space="preserve">house, and establishes that he is still competent to make medical decisions. </w:t>
      </w:r>
      <w:r w:rsidRPr="00993785">
        <w:rPr>
          <w:rFonts w:ascii="Garamond" w:eastAsia="Garamond" w:hAnsi="Garamond" w:cs="Garamond"/>
          <w:color w:val="000000"/>
        </w:rPr>
        <w:t xml:space="preserve">Albert </w:t>
      </w:r>
      <w:r w:rsidR="00F72E1A" w:rsidRPr="00993785">
        <w:rPr>
          <w:rFonts w:ascii="Garamond" w:eastAsia="Garamond" w:hAnsi="Garamond" w:cs="Garamond"/>
          <w:color w:val="000000"/>
        </w:rPr>
        <w:t>affirms that he still wishes to end his life. He is then given several pills that send him into a dreamless sleep, followed by an injection that stops his heart.</w:t>
      </w:r>
    </w:p>
    <w:p w14:paraId="0F7CE3E2" w14:textId="77777777" w:rsidR="00F72E1A" w:rsidRPr="00993785" w:rsidRDefault="00F72E1A" w:rsidP="00EA3155">
      <w:pPr>
        <w:jc w:val="both"/>
        <w:rPr>
          <w:rFonts w:ascii="Garamond" w:eastAsia="Times New Roman" w:hAnsi="Garamond" w:cs="Times New Roman"/>
        </w:rPr>
      </w:pPr>
    </w:p>
    <w:p w14:paraId="453F10AB" w14:textId="131DA7E5" w:rsidR="00F72E1A" w:rsidRPr="00993785" w:rsidRDefault="00F72E1A" w:rsidP="00EA3155">
      <w:pPr>
        <w:spacing w:line="480" w:lineRule="auto"/>
        <w:jc w:val="both"/>
        <w:rPr>
          <w:rFonts w:ascii="Garamond" w:eastAsia="Garamond" w:hAnsi="Garamond" w:cs="Garamond"/>
          <w:color w:val="000000"/>
        </w:rPr>
      </w:pPr>
      <w:r w:rsidRPr="00993785">
        <w:rPr>
          <w:rFonts w:ascii="Garamond" w:eastAsia="Garamond" w:hAnsi="Garamond" w:cs="Garamond"/>
          <w:color w:val="000000"/>
        </w:rPr>
        <w:t xml:space="preserve">This case involves a competent patient who has had time to process the shock of a terminal diagnosis, and a sustained desire to end his suffering by means of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If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is ever permissible, it </w:t>
      </w:r>
      <w:r w:rsidR="00076F51" w:rsidRPr="00993785">
        <w:rPr>
          <w:rFonts w:ascii="Garamond" w:eastAsia="Garamond" w:hAnsi="Garamond" w:cs="Garamond"/>
          <w:color w:val="000000"/>
        </w:rPr>
        <w:t>is</w:t>
      </w:r>
      <w:r w:rsidRPr="00993785">
        <w:rPr>
          <w:rFonts w:ascii="Garamond" w:eastAsia="Garamond" w:hAnsi="Garamond" w:cs="Garamond"/>
          <w:color w:val="000000"/>
        </w:rPr>
        <w:t xml:space="preserve"> permissible in cases like </w:t>
      </w:r>
      <w:r w:rsidR="00AD482A" w:rsidRPr="00993785">
        <w:rPr>
          <w:rFonts w:ascii="Garamond" w:eastAsia="Garamond" w:hAnsi="Garamond" w:cs="Garamond"/>
          <w:color w:val="000000"/>
        </w:rPr>
        <w:t>Albert’s</w:t>
      </w:r>
      <w:r w:rsidRPr="00993785">
        <w:rPr>
          <w:rFonts w:ascii="Garamond" w:eastAsia="Garamond" w:hAnsi="Garamond" w:cs="Garamond"/>
          <w:color w:val="000000"/>
        </w:rPr>
        <w:t>.</w:t>
      </w:r>
    </w:p>
    <w:p w14:paraId="0D98B762" w14:textId="3CADC6EA" w:rsidR="00F72E1A" w:rsidRPr="00993785" w:rsidRDefault="00F72E1A" w:rsidP="00EA3155">
      <w:pPr>
        <w:spacing w:line="480" w:lineRule="auto"/>
        <w:ind w:firstLine="720"/>
        <w:jc w:val="both"/>
        <w:rPr>
          <w:rFonts w:ascii="Garamond" w:eastAsia="Times New Roman" w:hAnsi="Garamond" w:cs="Times New Roman"/>
        </w:rPr>
      </w:pPr>
      <w:r w:rsidRPr="00993785">
        <w:rPr>
          <w:rFonts w:ascii="Garamond" w:eastAsia="Garamond" w:hAnsi="Garamond" w:cs="Garamond"/>
          <w:color w:val="000000"/>
        </w:rPr>
        <w:t xml:space="preserve">Now imagine </w:t>
      </w:r>
      <w:r w:rsidR="00AD482A" w:rsidRPr="00993785">
        <w:rPr>
          <w:rFonts w:ascii="Garamond" w:eastAsia="Garamond" w:hAnsi="Garamond" w:cs="Garamond"/>
          <w:color w:val="000000"/>
        </w:rPr>
        <w:t>Bobby</w:t>
      </w:r>
      <w:r w:rsidRPr="00993785">
        <w:rPr>
          <w:rFonts w:ascii="Garamond" w:eastAsia="Garamond" w:hAnsi="Garamond" w:cs="Garamond"/>
          <w:color w:val="000000"/>
        </w:rPr>
        <w:t xml:space="preserve">, whose case is just like </w:t>
      </w:r>
      <w:r w:rsidR="00AD482A" w:rsidRPr="00993785">
        <w:rPr>
          <w:rFonts w:ascii="Garamond" w:eastAsia="Garamond" w:hAnsi="Garamond" w:cs="Garamond"/>
          <w:color w:val="000000"/>
        </w:rPr>
        <w:t>Albert’s</w:t>
      </w:r>
      <w:r w:rsidRPr="00993785">
        <w:rPr>
          <w:rFonts w:ascii="Garamond" w:eastAsia="Garamond" w:hAnsi="Garamond" w:cs="Garamond"/>
          <w:color w:val="000000"/>
        </w:rPr>
        <w:t>, with one crucial difference:</w:t>
      </w:r>
      <w:r w:rsidR="001A096C" w:rsidRPr="00993785">
        <w:rPr>
          <w:rFonts w:ascii="Garamond" w:eastAsia="Garamond" w:hAnsi="Garamond" w:cs="Garamond"/>
          <w:color w:val="000000"/>
        </w:rPr>
        <w:t xml:space="preserve"> whereas Albert’s doctor </w:t>
      </w:r>
      <w:r w:rsidR="00C92D6B">
        <w:rPr>
          <w:rFonts w:ascii="Garamond" w:eastAsia="Garamond" w:hAnsi="Garamond" w:cs="Garamond"/>
          <w:color w:val="000000"/>
        </w:rPr>
        <w:t>administers</w:t>
      </w:r>
      <w:r w:rsidR="00C92D6B" w:rsidRPr="00993785">
        <w:rPr>
          <w:rFonts w:ascii="Garamond" w:eastAsia="Garamond" w:hAnsi="Garamond" w:cs="Garamond"/>
          <w:color w:val="000000"/>
        </w:rPr>
        <w:t xml:space="preserve"> </w:t>
      </w:r>
      <w:r w:rsidR="001A096C" w:rsidRPr="00993785">
        <w:rPr>
          <w:rFonts w:ascii="Garamond" w:eastAsia="Garamond" w:hAnsi="Garamond" w:cs="Garamond"/>
          <w:color w:val="000000"/>
        </w:rPr>
        <w:t xml:space="preserve">the injection directly after sedating him, Bobby’s doctor </w:t>
      </w:r>
      <w:r w:rsidR="00C92D6B">
        <w:rPr>
          <w:rFonts w:ascii="Garamond" w:eastAsia="Garamond" w:hAnsi="Garamond" w:cs="Garamond"/>
          <w:color w:val="000000"/>
        </w:rPr>
        <w:t>waits</w:t>
      </w:r>
      <w:r w:rsidR="00C92D6B" w:rsidRPr="00993785">
        <w:rPr>
          <w:rFonts w:ascii="Garamond" w:eastAsia="Garamond" w:hAnsi="Garamond" w:cs="Garamond"/>
          <w:color w:val="000000"/>
        </w:rPr>
        <w:t xml:space="preserve"> </w:t>
      </w:r>
      <w:r w:rsidR="002C431D">
        <w:rPr>
          <w:rFonts w:ascii="Garamond" w:eastAsia="Garamond" w:hAnsi="Garamond" w:cs="Garamond"/>
          <w:color w:val="000000"/>
        </w:rPr>
        <w:t>15</w:t>
      </w:r>
      <w:r w:rsidR="002C431D" w:rsidRPr="00993785">
        <w:rPr>
          <w:rFonts w:ascii="Garamond" w:eastAsia="Garamond" w:hAnsi="Garamond" w:cs="Garamond"/>
          <w:color w:val="000000"/>
        </w:rPr>
        <w:t xml:space="preserve"> </w:t>
      </w:r>
      <w:r w:rsidR="001A096C" w:rsidRPr="00993785">
        <w:rPr>
          <w:rFonts w:ascii="Garamond" w:eastAsia="Garamond" w:hAnsi="Garamond" w:cs="Garamond"/>
          <w:color w:val="000000"/>
        </w:rPr>
        <w:t xml:space="preserve">minutes before doing so. </w:t>
      </w:r>
      <w:r w:rsidRPr="00993785">
        <w:rPr>
          <w:rFonts w:ascii="Garamond" w:eastAsia="Garamond" w:hAnsi="Garamond" w:cs="Garamond"/>
          <w:color w:val="000000"/>
        </w:rPr>
        <w:t xml:space="preserve">Fifteen minutes of dreamless sleep does not seem to make a moral difference </w:t>
      </w:r>
      <w:r w:rsidR="00137DFE" w:rsidRPr="00993785">
        <w:rPr>
          <w:rFonts w:ascii="Garamond" w:eastAsia="Garamond" w:hAnsi="Garamond" w:cs="Garamond"/>
          <w:color w:val="000000"/>
        </w:rPr>
        <w:t>here</w:t>
      </w:r>
      <w:r w:rsidRPr="00993785">
        <w:rPr>
          <w:rFonts w:ascii="Garamond" w:eastAsia="Garamond" w:hAnsi="Garamond" w:cs="Garamond"/>
          <w:color w:val="000000"/>
        </w:rPr>
        <w:t xml:space="preserve">. The doctor </w:t>
      </w:r>
      <w:r w:rsidR="00076F51" w:rsidRPr="00993785">
        <w:rPr>
          <w:rFonts w:ascii="Garamond" w:eastAsia="Garamond" w:hAnsi="Garamond" w:cs="Garamond"/>
          <w:color w:val="000000"/>
        </w:rPr>
        <w:t>is not</w:t>
      </w:r>
      <w:r w:rsidRPr="00993785">
        <w:rPr>
          <w:rFonts w:ascii="Garamond" w:eastAsia="Garamond" w:hAnsi="Garamond" w:cs="Garamond"/>
          <w:color w:val="000000"/>
        </w:rPr>
        <w:t xml:space="preserve"> obligated to rouse </w:t>
      </w:r>
      <w:r w:rsidR="00AD482A" w:rsidRPr="00993785">
        <w:rPr>
          <w:rFonts w:ascii="Garamond" w:eastAsia="Garamond" w:hAnsi="Garamond" w:cs="Garamond"/>
          <w:color w:val="000000"/>
        </w:rPr>
        <w:t xml:space="preserve">Bobby </w:t>
      </w:r>
      <w:r w:rsidRPr="00993785">
        <w:rPr>
          <w:rFonts w:ascii="Garamond" w:eastAsia="Garamond" w:hAnsi="Garamond" w:cs="Garamond"/>
          <w:color w:val="000000"/>
        </w:rPr>
        <w:t xml:space="preserve">in order to “re-consent” him. This case establishes that our autonomous declarations have </w:t>
      </w:r>
      <w:r w:rsidR="00FA5798">
        <w:rPr>
          <w:rFonts w:ascii="Garamond" w:eastAsia="Garamond" w:hAnsi="Garamond" w:cs="Garamond"/>
          <w:color w:val="000000"/>
        </w:rPr>
        <w:t>some</w:t>
      </w:r>
      <w:r w:rsidRPr="00993785">
        <w:rPr>
          <w:rFonts w:ascii="Garamond" w:eastAsia="Garamond" w:hAnsi="Garamond" w:cs="Garamond"/>
          <w:color w:val="000000"/>
        </w:rPr>
        <w:t xml:space="preserve"> staying power—we do not need to consent to a medical procedure at the very moment at which it is performed in order for our consent to be valid. </w:t>
      </w:r>
    </w:p>
    <w:p w14:paraId="36BFCFEB" w14:textId="71B4C836" w:rsidR="00F72E1A" w:rsidRPr="00993785" w:rsidRDefault="00F72E1A" w:rsidP="00EA3155">
      <w:pPr>
        <w:spacing w:line="480" w:lineRule="auto"/>
        <w:ind w:firstLine="720"/>
        <w:jc w:val="both"/>
        <w:rPr>
          <w:rFonts w:ascii="Garamond" w:eastAsia="Times New Roman" w:hAnsi="Garamond" w:cs="Times New Roman"/>
        </w:rPr>
      </w:pPr>
      <w:r w:rsidRPr="00993785">
        <w:rPr>
          <w:rFonts w:ascii="Garamond" w:eastAsia="Garamond" w:hAnsi="Garamond" w:cs="Garamond"/>
          <w:color w:val="000000"/>
        </w:rPr>
        <w:t xml:space="preserve">Of course, extenuating circumstances </w:t>
      </w:r>
      <w:r w:rsidR="00FA5798">
        <w:rPr>
          <w:rFonts w:ascii="Garamond" w:eastAsia="Garamond" w:hAnsi="Garamond" w:cs="Garamond"/>
          <w:color w:val="000000"/>
        </w:rPr>
        <w:t>may sometimes</w:t>
      </w:r>
      <w:r w:rsidR="00FA5798" w:rsidRPr="00993785">
        <w:rPr>
          <w:rFonts w:ascii="Garamond" w:eastAsia="Garamond" w:hAnsi="Garamond" w:cs="Garamond"/>
          <w:color w:val="000000"/>
        </w:rPr>
        <w:t xml:space="preserve"> </w:t>
      </w:r>
      <w:r w:rsidRPr="00993785">
        <w:rPr>
          <w:rFonts w:ascii="Garamond" w:eastAsia="Garamond" w:hAnsi="Garamond" w:cs="Garamond"/>
          <w:color w:val="000000"/>
        </w:rPr>
        <w:t xml:space="preserve">render past consent invalid. </w:t>
      </w:r>
      <w:r w:rsidR="003F64F8" w:rsidRPr="00993785">
        <w:rPr>
          <w:rFonts w:ascii="Garamond" w:eastAsia="Garamond" w:hAnsi="Garamond" w:cs="Garamond"/>
          <w:color w:val="000000"/>
        </w:rPr>
        <w:t>R</w:t>
      </w:r>
      <w:r w:rsidRPr="00993785">
        <w:rPr>
          <w:rFonts w:ascii="Garamond" w:eastAsia="Garamond" w:hAnsi="Garamond" w:cs="Garamond"/>
          <w:color w:val="000000"/>
        </w:rPr>
        <w:t>ecanting past consent</w:t>
      </w:r>
      <w:r w:rsidR="00C92D6B">
        <w:rPr>
          <w:rFonts w:ascii="Garamond" w:eastAsia="Garamond" w:hAnsi="Garamond" w:cs="Garamond"/>
          <w:color w:val="000000"/>
        </w:rPr>
        <w:t xml:space="preserve">, for instance, </w:t>
      </w:r>
      <w:r w:rsidR="00811E95" w:rsidRPr="00993785">
        <w:rPr>
          <w:rFonts w:ascii="Garamond" w:eastAsia="Garamond" w:hAnsi="Garamond" w:cs="Garamond"/>
          <w:color w:val="000000"/>
        </w:rPr>
        <w:t>generally renders</w:t>
      </w:r>
      <w:r w:rsidRPr="00993785">
        <w:rPr>
          <w:rFonts w:ascii="Garamond" w:eastAsia="Garamond" w:hAnsi="Garamond" w:cs="Garamond"/>
          <w:color w:val="000000"/>
        </w:rPr>
        <w:t xml:space="preserve"> it invalid. Drastic changes in </w:t>
      </w:r>
      <w:r w:rsidR="00FA5798">
        <w:rPr>
          <w:rFonts w:ascii="Garamond" w:eastAsia="Garamond" w:hAnsi="Garamond" w:cs="Garamond"/>
          <w:color w:val="000000"/>
        </w:rPr>
        <w:t>medicine</w:t>
      </w:r>
      <w:r w:rsidRPr="00993785">
        <w:rPr>
          <w:rFonts w:ascii="Garamond" w:eastAsia="Garamond" w:hAnsi="Garamond" w:cs="Garamond"/>
          <w:color w:val="000000"/>
        </w:rPr>
        <w:t>—such as the invention of a more effective treatment option—could also render past consent invalid. Nevertheless, incapacitation is</w:t>
      </w:r>
      <w:r w:rsidR="00FA5798">
        <w:rPr>
          <w:rFonts w:ascii="Garamond" w:eastAsia="Garamond" w:hAnsi="Garamond" w:cs="Garamond"/>
          <w:color w:val="000000"/>
        </w:rPr>
        <w:t xml:space="preserve"> </w:t>
      </w:r>
      <w:r w:rsidRPr="00993785">
        <w:rPr>
          <w:rFonts w:ascii="Garamond" w:eastAsia="Garamond" w:hAnsi="Garamond" w:cs="Garamond"/>
          <w:color w:val="000000"/>
        </w:rPr>
        <w:t>not by itself an extenuating circumstance</w:t>
      </w:r>
      <w:r w:rsidR="00A977E3" w:rsidRPr="00993785">
        <w:rPr>
          <w:rFonts w:ascii="Garamond" w:eastAsia="Garamond" w:hAnsi="Garamond" w:cs="Garamond"/>
          <w:color w:val="000000"/>
        </w:rPr>
        <w:t xml:space="preserve"> that renders consent invalid</w:t>
      </w:r>
      <w:r w:rsidRPr="00993785">
        <w:rPr>
          <w:rFonts w:ascii="Garamond" w:eastAsia="Garamond" w:hAnsi="Garamond" w:cs="Garamond"/>
          <w:color w:val="000000"/>
        </w:rPr>
        <w:t xml:space="preserve">. </w:t>
      </w:r>
      <w:r w:rsidR="00811E95" w:rsidRPr="00993785">
        <w:rPr>
          <w:rFonts w:ascii="Garamond" w:eastAsia="Garamond" w:hAnsi="Garamond" w:cs="Garamond"/>
          <w:color w:val="000000"/>
        </w:rPr>
        <w:t>If</w:t>
      </w:r>
      <w:r w:rsidRPr="00993785">
        <w:rPr>
          <w:rFonts w:ascii="Garamond" w:eastAsia="Garamond" w:hAnsi="Garamond" w:cs="Garamond"/>
          <w:color w:val="000000"/>
        </w:rPr>
        <w:t xml:space="preserve"> </w:t>
      </w:r>
      <w:r w:rsidR="00A977E3" w:rsidRPr="00993785">
        <w:rPr>
          <w:rFonts w:ascii="Garamond" w:eastAsia="Garamond" w:hAnsi="Garamond" w:cs="Garamond"/>
          <w:color w:val="000000"/>
        </w:rPr>
        <w:t>it were</w:t>
      </w:r>
      <w:r w:rsidRPr="00993785">
        <w:rPr>
          <w:rFonts w:ascii="Garamond" w:eastAsia="Garamond" w:hAnsi="Garamond" w:cs="Garamond"/>
          <w:color w:val="000000"/>
        </w:rPr>
        <w:t xml:space="preserve">, then it would be impossible to consent to any procedure that requires general anesthesia. </w:t>
      </w:r>
      <w:r w:rsidR="003F64F8" w:rsidRPr="00993785">
        <w:rPr>
          <w:rFonts w:ascii="Garamond" w:eastAsia="Garamond" w:hAnsi="Garamond" w:cs="Garamond"/>
          <w:color w:val="000000"/>
        </w:rPr>
        <w:t>And so, i</w:t>
      </w:r>
      <w:r w:rsidRPr="00993785">
        <w:rPr>
          <w:rFonts w:ascii="Garamond" w:eastAsia="Garamond" w:hAnsi="Garamond" w:cs="Garamond"/>
          <w:color w:val="000000"/>
        </w:rPr>
        <w:t xml:space="preserve">f </w:t>
      </w:r>
      <w:r w:rsidR="00AD482A" w:rsidRPr="00993785">
        <w:rPr>
          <w:rFonts w:ascii="Garamond" w:eastAsia="Garamond" w:hAnsi="Garamond" w:cs="Garamond"/>
          <w:color w:val="000000"/>
        </w:rPr>
        <w:t xml:space="preserve">Albert </w:t>
      </w:r>
      <w:r w:rsidR="003F64F8" w:rsidRPr="00993785">
        <w:rPr>
          <w:rFonts w:ascii="Garamond" w:eastAsia="Garamond" w:hAnsi="Garamond" w:cs="Garamond"/>
          <w:color w:val="000000"/>
        </w:rPr>
        <w:t xml:space="preserve">and </w:t>
      </w:r>
      <w:r w:rsidR="00AD482A" w:rsidRPr="00993785">
        <w:rPr>
          <w:rFonts w:ascii="Garamond" w:eastAsia="Garamond" w:hAnsi="Garamond" w:cs="Garamond"/>
          <w:color w:val="000000"/>
        </w:rPr>
        <w:t xml:space="preserve">Bobby </w:t>
      </w:r>
      <w:r w:rsidRPr="00993785">
        <w:rPr>
          <w:rFonts w:ascii="Garamond" w:eastAsia="Garamond" w:hAnsi="Garamond" w:cs="Garamond"/>
          <w:color w:val="000000"/>
        </w:rPr>
        <w:t xml:space="preserve">legitimately consented to receive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then a brief period of incapacitation prior to death </w:t>
      </w:r>
      <w:r w:rsidR="003F64F8" w:rsidRPr="00993785">
        <w:rPr>
          <w:rFonts w:ascii="Garamond" w:eastAsia="Garamond" w:hAnsi="Garamond" w:cs="Garamond"/>
          <w:color w:val="000000"/>
        </w:rPr>
        <w:t xml:space="preserve">would </w:t>
      </w:r>
      <w:r w:rsidRPr="00993785">
        <w:rPr>
          <w:rFonts w:ascii="Garamond" w:eastAsia="Garamond" w:hAnsi="Garamond" w:cs="Garamond"/>
          <w:color w:val="000000"/>
        </w:rPr>
        <w:t>not</w:t>
      </w:r>
      <w:r w:rsidR="003F64F8" w:rsidRPr="00993785">
        <w:rPr>
          <w:rFonts w:ascii="Garamond" w:eastAsia="Garamond" w:hAnsi="Garamond" w:cs="Garamond"/>
          <w:color w:val="000000"/>
        </w:rPr>
        <w:t>, by</w:t>
      </w:r>
      <w:r w:rsidRPr="00993785">
        <w:rPr>
          <w:rFonts w:ascii="Garamond" w:eastAsia="Garamond" w:hAnsi="Garamond" w:cs="Garamond"/>
          <w:color w:val="000000"/>
        </w:rPr>
        <w:t xml:space="preserve"> itself</w:t>
      </w:r>
      <w:r w:rsidR="003F64F8" w:rsidRPr="00993785">
        <w:rPr>
          <w:rFonts w:ascii="Garamond" w:eastAsia="Garamond" w:hAnsi="Garamond" w:cs="Garamond"/>
          <w:color w:val="000000"/>
        </w:rPr>
        <w:t xml:space="preserve">, </w:t>
      </w:r>
      <w:r w:rsidRPr="00993785">
        <w:rPr>
          <w:rFonts w:ascii="Garamond" w:eastAsia="Garamond" w:hAnsi="Garamond" w:cs="Garamond"/>
          <w:color w:val="000000"/>
        </w:rPr>
        <w:t>render their consent invalid.</w:t>
      </w:r>
    </w:p>
    <w:p w14:paraId="77982F61" w14:textId="71E76ED1" w:rsidR="00F72E1A" w:rsidRPr="00993785" w:rsidRDefault="00F72E1A" w:rsidP="00EA3155">
      <w:pPr>
        <w:spacing w:line="480" w:lineRule="auto"/>
        <w:ind w:firstLine="720"/>
        <w:jc w:val="both"/>
        <w:rPr>
          <w:rFonts w:ascii="Garamond" w:eastAsia="Times New Roman" w:hAnsi="Garamond" w:cs="Times New Roman"/>
        </w:rPr>
      </w:pPr>
      <w:r w:rsidRPr="00993785">
        <w:rPr>
          <w:rFonts w:ascii="Garamond" w:eastAsia="Garamond" w:hAnsi="Garamond" w:cs="Garamond"/>
          <w:color w:val="000000"/>
        </w:rPr>
        <w:t xml:space="preserve">How brief must this period be? </w:t>
      </w:r>
      <w:r w:rsidR="00E57AD9" w:rsidRPr="00993785">
        <w:rPr>
          <w:rFonts w:ascii="Garamond" w:eastAsia="Garamond" w:hAnsi="Garamond" w:cs="Garamond"/>
          <w:color w:val="000000"/>
        </w:rPr>
        <w:t>Consider Clara</w:t>
      </w:r>
      <w:r w:rsidR="000B27E5" w:rsidRPr="00993785">
        <w:rPr>
          <w:rFonts w:ascii="Garamond" w:eastAsia="Garamond" w:hAnsi="Garamond" w:cs="Garamond"/>
          <w:color w:val="000000"/>
        </w:rPr>
        <w:t>:</w:t>
      </w:r>
    </w:p>
    <w:p w14:paraId="245E813E" w14:textId="29D9C161" w:rsidR="00F72E1A" w:rsidRPr="00993785" w:rsidRDefault="00AD482A" w:rsidP="00EA3155">
      <w:pPr>
        <w:ind w:left="720"/>
        <w:jc w:val="both"/>
        <w:rPr>
          <w:rFonts w:ascii="Garamond" w:eastAsia="Times New Roman" w:hAnsi="Garamond" w:cs="Times New Roman"/>
        </w:rPr>
      </w:pPr>
      <w:r w:rsidRPr="00993785">
        <w:rPr>
          <w:rFonts w:ascii="Garamond" w:eastAsia="Garamond" w:hAnsi="Garamond" w:cs="Garamond"/>
          <w:b/>
          <w:smallCaps/>
          <w:color w:val="000000"/>
        </w:rPr>
        <w:lastRenderedPageBreak/>
        <w:t>Clara</w:t>
      </w:r>
      <w:r w:rsidR="00F72E1A" w:rsidRPr="00993785">
        <w:rPr>
          <w:rFonts w:ascii="Garamond" w:eastAsia="Garamond" w:hAnsi="Garamond" w:cs="Garamond"/>
          <w:b/>
          <w:color w:val="000000"/>
        </w:rPr>
        <w:t>:</w:t>
      </w:r>
      <w:r w:rsidR="00F72E1A" w:rsidRPr="00993785">
        <w:rPr>
          <w:rFonts w:ascii="Garamond" w:eastAsia="Garamond" w:hAnsi="Garamond" w:cs="Garamond"/>
          <w:color w:val="000000"/>
        </w:rPr>
        <w:t xml:space="preserve"> Upon being diagnosed with terminal cancer, </w:t>
      </w:r>
      <w:r w:rsidRPr="00993785">
        <w:rPr>
          <w:rFonts w:ascii="Garamond" w:eastAsia="Garamond" w:hAnsi="Garamond" w:cs="Garamond"/>
          <w:color w:val="000000"/>
        </w:rPr>
        <w:t xml:space="preserve">Clara </w:t>
      </w:r>
      <w:r w:rsidR="00F72E1A" w:rsidRPr="00993785">
        <w:rPr>
          <w:rFonts w:ascii="Garamond" w:eastAsia="Garamond" w:hAnsi="Garamond" w:cs="Garamond"/>
          <w:color w:val="000000"/>
        </w:rPr>
        <w:t xml:space="preserve">fills out an advance directive. The directive mandates that she is to receive </w:t>
      </w:r>
      <w:r w:rsidR="00843CB9" w:rsidRPr="00993785">
        <w:rPr>
          <w:rFonts w:ascii="Garamond" w:eastAsia="Garamond" w:hAnsi="Garamond" w:cs="Garamond"/>
          <w:color w:val="000000"/>
        </w:rPr>
        <w:t>PAD</w:t>
      </w:r>
      <w:r w:rsidR="00F72E1A" w:rsidRPr="00993785">
        <w:rPr>
          <w:rFonts w:ascii="Garamond" w:eastAsia="Garamond" w:hAnsi="Garamond" w:cs="Garamond"/>
          <w:color w:val="000000"/>
        </w:rPr>
        <w:t xml:space="preserve"> if she ever ends up in a mentally incapacitated state that appears inconsistent with a reasonable quality of life and that is most likely irreversible. Six months after her cancer diagnosis, </w:t>
      </w:r>
      <w:r w:rsidRPr="00993785">
        <w:rPr>
          <w:rFonts w:ascii="Garamond" w:eastAsia="Garamond" w:hAnsi="Garamond" w:cs="Garamond"/>
          <w:color w:val="000000"/>
        </w:rPr>
        <w:t xml:space="preserve">Clara </w:t>
      </w:r>
      <w:r w:rsidR="00F72E1A" w:rsidRPr="00993785">
        <w:rPr>
          <w:rFonts w:ascii="Garamond" w:eastAsia="Garamond" w:hAnsi="Garamond" w:cs="Garamond"/>
          <w:color w:val="000000"/>
        </w:rPr>
        <w:t xml:space="preserve">suffers a stroke, which causes massive brain damage and requires her to be put on life support. </w:t>
      </w:r>
      <w:r w:rsidRPr="00993785">
        <w:rPr>
          <w:rFonts w:ascii="Garamond" w:eastAsia="Garamond" w:hAnsi="Garamond" w:cs="Garamond"/>
          <w:color w:val="000000"/>
        </w:rPr>
        <w:t>Clara</w:t>
      </w:r>
      <w:r w:rsidR="000B27E5" w:rsidRPr="00993785">
        <w:rPr>
          <w:rFonts w:ascii="Garamond" w:eastAsia="Garamond" w:hAnsi="Garamond" w:cs="Garamond"/>
          <w:color w:val="000000"/>
        </w:rPr>
        <w:t>’s</w:t>
      </w:r>
      <w:r w:rsidRPr="00993785">
        <w:rPr>
          <w:rFonts w:ascii="Garamond" w:eastAsia="Garamond" w:hAnsi="Garamond" w:cs="Garamond"/>
          <w:color w:val="000000"/>
        </w:rPr>
        <w:t xml:space="preserve"> </w:t>
      </w:r>
      <w:r w:rsidR="00F72E1A" w:rsidRPr="00993785">
        <w:rPr>
          <w:rFonts w:ascii="Garamond" w:eastAsia="Garamond" w:hAnsi="Garamond" w:cs="Garamond"/>
          <w:color w:val="000000"/>
        </w:rPr>
        <w:t xml:space="preserve">quality of life </w:t>
      </w:r>
      <w:r w:rsidR="005C70BF" w:rsidRPr="00993785">
        <w:rPr>
          <w:rFonts w:ascii="Garamond" w:eastAsia="Garamond" w:hAnsi="Garamond" w:cs="Garamond"/>
          <w:color w:val="000000"/>
        </w:rPr>
        <w:t>seems</w:t>
      </w:r>
      <w:r w:rsidR="00F72E1A" w:rsidRPr="00993785">
        <w:rPr>
          <w:rFonts w:ascii="Garamond" w:eastAsia="Garamond" w:hAnsi="Garamond" w:cs="Garamond"/>
          <w:color w:val="000000"/>
        </w:rPr>
        <w:t xml:space="preserve"> very low, and her prognosis is grim. Even if she somehow recovers from the stroke, the cancer will soon kill her. </w:t>
      </w:r>
      <w:r w:rsidRPr="00993785">
        <w:rPr>
          <w:rFonts w:ascii="Garamond" w:eastAsia="Garamond" w:hAnsi="Garamond" w:cs="Garamond"/>
          <w:color w:val="000000"/>
        </w:rPr>
        <w:t xml:space="preserve">Clara’s </w:t>
      </w:r>
      <w:r w:rsidR="00F72E1A" w:rsidRPr="00993785">
        <w:rPr>
          <w:rFonts w:ascii="Garamond" w:eastAsia="Garamond" w:hAnsi="Garamond" w:cs="Garamond"/>
          <w:color w:val="000000"/>
        </w:rPr>
        <w:t xml:space="preserve">doctors </w:t>
      </w:r>
      <w:r w:rsidR="004E05C7" w:rsidRPr="00993785">
        <w:rPr>
          <w:rFonts w:ascii="Garamond" w:eastAsia="Garamond" w:hAnsi="Garamond" w:cs="Garamond"/>
          <w:color w:val="000000"/>
        </w:rPr>
        <w:t xml:space="preserve">agree </w:t>
      </w:r>
      <w:r w:rsidR="00F72E1A" w:rsidRPr="00993785">
        <w:rPr>
          <w:rFonts w:ascii="Garamond" w:eastAsia="Garamond" w:hAnsi="Garamond" w:cs="Garamond"/>
          <w:color w:val="000000"/>
        </w:rPr>
        <w:t xml:space="preserve">that her state meets the conditions for </w:t>
      </w:r>
      <w:r w:rsidR="00843CB9" w:rsidRPr="00993785">
        <w:rPr>
          <w:rFonts w:ascii="Garamond" w:eastAsia="Garamond" w:hAnsi="Garamond" w:cs="Garamond"/>
          <w:color w:val="000000"/>
        </w:rPr>
        <w:t>PAD</w:t>
      </w:r>
      <w:r w:rsidR="00F72E1A" w:rsidRPr="00993785">
        <w:rPr>
          <w:rFonts w:ascii="Garamond" w:eastAsia="Garamond" w:hAnsi="Garamond" w:cs="Garamond"/>
          <w:color w:val="000000"/>
        </w:rPr>
        <w:t xml:space="preserve"> outlined in her advance directive, and so they </w:t>
      </w:r>
      <w:r w:rsidR="005C70BF" w:rsidRPr="00993785">
        <w:rPr>
          <w:rFonts w:ascii="Garamond" w:eastAsia="Garamond" w:hAnsi="Garamond" w:cs="Garamond"/>
          <w:color w:val="000000"/>
        </w:rPr>
        <w:t>honor her request</w:t>
      </w:r>
      <w:r w:rsidR="00F72E1A" w:rsidRPr="00993785">
        <w:rPr>
          <w:rFonts w:ascii="Garamond" w:eastAsia="Garamond" w:hAnsi="Garamond" w:cs="Garamond"/>
          <w:color w:val="000000"/>
        </w:rPr>
        <w:t>.  </w:t>
      </w:r>
    </w:p>
    <w:p w14:paraId="5890FBAB" w14:textId="77777777" w:rsidR="00F72E1A" w:rsidRPr="00993785" w:rsidRDefault="00F72E1A" w:rsidP="00EA3155">
      <w:pPr>
        <w:jc w:val="both"/>
        <w:rPr>
          <w:rFonts w:ascii="Garamond" w:eastAsia="Times New Roman" w:hAnsi="Garamond" w:cs="Times New Roman"/>
        </w:rPr>
      </w:pPr>
    </w:p>
    <w:p w14:paraId="7AC1346B" w14:textId="3F71AB37" w:rsidR="00BE123A" w:rsidRDefault="00F72E1A" w:rsidP="00EA3155">
      <w:pPr>
        <w:spacing w:line="480" w:lineRule="auto"/>
        <w:jc w:val="both"/>
        <w:rPr>
          <w:rFonts w:ascii="Garamond" w:eastAsia="Garamond" w:hAnsi="Garamond" w:cs="Garamond"/>
        </w:rPr>
      </w:pPr>
      <w:r w:rsidRPr="00993785">
        <w:rPr>
          <w:rFonts w:ascii="Garamond" w:eastAsia="Garamond" w:hAnsi="Garamond" w:cs="Garamond"/>
        </w:rPr>
        <w:t xml:space="preserve">We think that </w:t>
      </w:r>
      <w:r w:rsidR="00843CB9" w:rsidRPr="00993785">
        <w:rPr>
          <w:rFonts w:ascii="Garamond" w:eastAsia="Garamond" w:hAnsi="Garamond" w:cs="Garamond"/>
        </w:rPr>
        <w:t>PAD</w:t>
      </w:r>
      <w:r w:rsidRPr="00993785">
        <w:rPr>
          <w:rFonts w:ascii="Garamond" w:eastAsia="Garamond" w:hAnsi="Garamond" w:cs="Garamond"/>
        </w:rPr>
        <w:t xml:space="preserve"> </w:t>
      </w:r>
      <w:r w:rsidR="004E05C7" w:rsidRPr="00993785">
        <w:rPr>
          <w:rFonts w:ascii="Garamond" w:eastAsia="Garamond" w:hAnsi="Garamond" w:cs="Garamond"/>
        </w:rPr>
        <w:t>is</w:t>
      </w:r>
      <w:r w:rsidRPr="00993785">
        <w:rPr>
          <w:rFonts w:ascii="Garamond" w:eastAsia="Garamond" w:hAnsi="Garamond" w:cs="Garamond"/>
        </w:rPr>
        <w:t xml:space="preserve"> permissible in </w:t>
      </w:r>
      <w:r w:rsidR="00AD482A" w:rsidRPr="00993785">
        <w:rPr>
          <w:rFonts w:ascii="Garamond" w:eastAsia="Garamond" w:hAnsi="Garamond" w:cs="Garamond"/>
        </w:rPr>
        <w:t xml:space="preserve">Clara’s </w:t>
      </w:r>
      <w:r w:rsidRPr="00993785">
        <w:rPr>
          <w:rFonts w:ascii="Garamond" w:eastAsia="Garamond" w:hAnsi="Garamond" w:cs="Garamond"/>
        </w:rPr>
        <w:t xml:space="preserve">case, as it is in </w:t>
      </w:r>
      <w:r w:rsidR="00AD482A" w:rsidRPr="00993785">
        <w:rPr>
          <w:rFonts w:ascii="Garamond" w:eastAsia="Garamond" w:hAnsi="Garamond" w:cs="Garamond"/>
        </w:rPr>
        <w:t>Bobby’s</w:t>
      </w:r>
      <w:r w:rsidRPr="00993785">
        <w:rPr>
          <w:rFonts w:ascii="Garamond" w:eastAsia="Garamond" w:hAnsi="Garamond" w:cs="Garamond"/>
        </w:rPr>
        <w:t xml:space="preserve">. But this judgment contradicts the legal situation in most jurisdictions that </w:t>
      </w:r>
      <w:r w:rsidR="001A096C" w:rsidRPr="00993785">
        <w:rPr>
          <w:rFonts w:ascii="Garamond" w:eastAsia="Garamond" w:hAnsi="Garamond" w:cs="Garamond"/>
        </w:rPr>
        <w:t>have legalized</w:t>
      </w:r>
      <w:r w:rsidRPr="00993785">
        <w:rPr>
          <w:rFonts w:ascii="Garamond" w:eastAsia="Garamond" w:hAnsi="Garamond" w:cs="Garamond"/>
        </w:rPr>
        <w:t xml:space="preserve"> </w:t>
      </w:r>
      <w:r w:rsidR="00843CB9" w:rsidRPr="00993785">
        <w:rPr>
          <w:rFonts w:ascii="Garamond" w:eastAsia="Garamond" w:hAnsi="Garamond" w:cs="Garamond"/>
        </w:rPr>
        <w:t>PAD</w:t>
      </w:r>
      <w:r w:rsidR="00EA3155" w:rsidRPr="00993785">
        <w:rPr>
          <w:rFonts w:ascii="Garamond" w:eastAsia="Garamond" w:hAnsi="Garamond" w:cs="Garamond"/>
        </w:rPr>
        <w:t>, as they have generally disallowed PAD requests made via advance directives</w:t>
      </w:r>
      <w:r w:rsidRPr="00993785">
        <w:rPr>
          <w:rFonts w:ascii="Garamond" w:eastAsia="Garamond" w:hAnsi="Garamond" w:cs="Garamond"/>
        </w:rPr>
        <w:t xml:space="preserve">. What reasoning could be used to justify this restriction? Presumably, if there is any morally relevant difference between </w:t>
      </w:r>
      <w:r w:rsidR="00FA5798">
        <w:rPr>
          <w:rFonts w:ascii="Garamond" w:eastAsia="Garamond" w:hAnsi="Garamond" w:cs="Garamond"/>
        </w:rPr>
        <w:t>Bobby and Clara</w:t>
      </w:r>
      <w:r w:rsidRPr="00993785">
        <w:rPr>
          <w:rFonts w:ascii="Garamond" w:eastAsia="Garamond" w:hAnsi="Garamond" w:cs="Garamond"/>
        </w:rPr>
        <w:t xml:space="preserve">, it must </w:t>
      </w:r>
      <w:r w:rsidR="009D6A1D" w:rsidRPr="00993785">
        <w:rPr>
          <w:rFonts w:ascii="Garamond" w:eastAsia="Garamond" w:hAnsi="Garamond" w:cs="Garamond"/>
        </w:rPr>
        <w:t>relate</w:t>
      </w:r>
      <w:r w:rsidRPr="00993785">
        <w:rPr>
          <w:rFonts w:ascii="Garamond" w:eastAsia="Garamond" w:hAnsi="Garamond" w:cs="Garamond"/>
        </w:rPr>
        <w:t xml:space="preserve"> to the difference in how much time elapses between when they request </w:t>
      </w:r>
      <w:r w:rsidR="00843CB9" w:rsidRPr="00993785">
        <w:rPr>
          <w:rFonts w:ascii="Garamond" w:eastAsia="Garamond" w:hAnsi="Garamond" w:cs="Garamond"/>
        </w:rPr>
        <w:t>PAD</w:t>
      </w:r>
      <w:r w:rsidRPr="00993785">
        <w:rPr>
          <w:rFonts w:ascii="Garamond" w:eastAsia="Garamond" w:hAnsi="Garamond" w:cs="Garamond"/>
        </w:rPr>
        <w:t xml:space="preserve"> and when they receive it. But why would this difference in time generate </w:t>
      </w:r>
      <w:r w:rsidR="008C606B" w:rsidRPr="00993785">
        <w:rPr>
          <w:rFonts w:ascii="Garamond" w:eastAsia="Garamond" w:hAnsi="Garamond" w:cs="Garamond"/>
        </w:rPr>
        <w:t>a difference in permissibility</w:t>
      </w:r>
      <w:r w:rsidRPr="00993785">
        <w:rPr>
          <w:rFonts w:ascii="Garamond" w:eastAsia="Garamond" w:hAnsi="Garamond" w:cs="Garamond"/>
        </w:rPr>
        <w:t>?</w:t>
      </w:r>
      <w:r w:rsidR="00AB1785" w:rsidRPr="00993785">
        <w:rPr>
          <w:rFonts w:ascii="Garamond" w:eastAsia="Garamond" w:hAnsi="Garamond" w:cs="Garamond"/>
        </w:rPr>
        <w:t xml:space="preserve"> We will argue below that the most plausible answers to this question fail, and as such, that this difference in time is irrelevant. Thus, we should accept </w:t>
      </w:r>
      <w:r w:rsidR="00AB1785" w:rsidRPr="00993785">
        <w:rPr>
          <w:rFonts w:ascii="Garamond" w:eastAsia="Garamond" w:hAnsi="Garamond" w:cs="Garamond"/>
          <w:smallCaps/>
        </w:rPr>
        <w:t xml:space="preserve">Permissible Advance </w:t>
      </w:r>
      <w:r w:rsidR="00843CB9" w:rsidRPr="00993785">
        <w:rPr>
          <w:rFonts w:ascii="Garamond" w:eastAsia="Garamond" w:hAnsi="Garamond" w:cs="Garamond"/>
          <w:smallCaps/>
        </w:rPr>
        <w:t>PAD</w:t>
      </w:r>
      <w:r w:rsidR="00AB1785" w:rsidRPr="00993785">
        <w:rPr>
          <w:rFonts w:ascii="Garamond" w:eastAsia="Garamond" w:hAnsi="Garamond" w:cs="Garamond"/>
        </w:rPr>
        <w:t>.</w:t>
      </w:r>
    </w:p>
    <w:p w14:paraId="248DE438" w14:textId="77777777" w:rsidR="0060239C" w:rsidRPr="00993785" w:rsidRDefault="0060239C" w:rsidP="00EA3155">
      <w:pPr>
        <w:spacing w:line="480" w:lineRule="auto"/>
        <w:jc w:val="both"/>
        <w:rPr>
          <w:rFonts w:ascii="Garamond" w:eastAsia="Garamond" w:hAnsi="Garamond" w:cs="Garamond"/>
        </w:rPr>
      </w:pPr>
    </w:p>
    <w:p w14:paraId="062BD835" w14:textId="77777777" w:rsidR="00F72E1A" w:rsidRPr="00993785" w:rsidRDefault="00F72E1A" w:rsidP="00EA3155">
      <w:pPr>
        <w:spacing w:line="480" w:lineRule="auto"/>
        <w:jc w:val="both"/>
        <w:outlineLvl w:val="0"/>
        <w:rPr>
          <w:rFonts w:ascii="Garamond" w:eastAsia="Garamond" w:hAnsi="Garamond" w:cs="Garamond"/>
          <w:b/>
        </w:rPr>
      </w:pPr>
      <w:r w:rsidRPr="00993785">
        <w:rPr>
          <w:rFonts w:ascii="Garamond" w:eastAsia="Garamond" w:hAnsi="Garamond" w:cs="Garamond"/>
          <w:b/>
        </w:rPr>
        <w:t>2.2—Appeal to Risk of Acting Against the Patient’s Will</w:t>
      </w:r>
    </w:p>
    <w:p w14:paraId="5B121B01" w14:textId="06C23088" w:rsidR="00F72E1A" w:rsidRPr="00993785" w:rsidRDefault="00F72E1A" w:rsidP="00EA3155">
      <w:pPr>
        <w:spacing w:line="480" w:lineRule="auto"/>
        <w:jc w:val="both"/>
        <w:rPr>
          <w:rFonts w:ascii="Garamond" w:eastAsia="Garamond" w:hAnsi="Garamond" w:cs="Garamond"/>
        </w:rPr>
      </w:pPr>
      <w:r w:rsidRPr="00993785">
        <w:rPr>
          <w:rFonts w:ascii="Garamond" w:eastAsia="Garamond" w:hAnsi="Garamond" w:cs="Garamond"/>
        </w:rPr>
        <w:t>Let</w:t>
      </w:r>
      <w:r w:rsidR="005437AD">
        <w:rPr>
          <w:rFonts w:ascii="Garamond" w:eastAsia="Garamond" w:hAnsi="Garamond" w:cs="Garamond"/>
        </w:rPr>
        <w:t xml:space="preserve"> u</w:t>
      </w:r>
      <w:r w:rsidRPr="00993785">
        <w:rPr>
          <w:rFonts w:ascii="Garamond" w:eastAsia="Garamond" w:hAnsi="Garamond" w:cs="Garamond"/>
        </w:rPr>
        <w:t xml:space="preserve">s begin by considering why </w:t>
      </w:r>
      <w:r w:rsidR="008C606B" w:rsidRPr="00993785">
        <w:rPr>
          <w:rFonts w:ascii="Garamond" w:eastAsia="Garamond" w:hAnsi="Garamond" w:cs="Garamond"/>
        </w:rPr>
        <w:t>time might make a difference to permissibility</w:t>
      </w:r>
      <w:r w:rsidRPr="00993785">
        <w:rPr>
          <w:rFonts w:ascii="Garamond" w:eastAsia="Garamond" w:hAnsi="Garamond" w:cs="Garamond"/>
        </w:rPr>
        <w:t xml:space="preserve">. One reason for limiting the amount of time that can pass between </w:t>
      </w:r>
      <w:r w:rsidR="002C431D">
        <w:rPr>
          <w:rFonts w:ascii="Garamond" w:eastAsia="Garamond" w:hAnsi="Garamond" w:cs="Garamond"/>
        </w:rPr>
        <w:t xml:space="preserve">the </w:t>
      </w:r>
      <w:r w:rsidRPr="00993785">
        <w:rPr>
          <w:rFonts w:ascii="Garamond" w:eastAsia="Garamond" w:hAnsi="Garamond" w:cs="Garamond"/>
        </w:rPr>
        <w:t xml:space="preserve">request </w:t>
      </w:r>
      <w:r w:rsidR="002C431D">
        <w:rPr>
          <w:rFonts w:ascii="Garamond" w:eastAsia="Garamond" w:hAnsi="Garamond" w:cs="Garamond"/>
        </w:rPr>
        <w:t xml:space="preserve">for </w:t>
      </w:r>
      <w:r w:rsidRPr="00993785">
        <w:rPr>
          <w:rFonts w:ascii="Garamond" w:eastAsia="Garamond" w:hAnsi="Garamond" w:cs="Garamond"/>
        </w:rPr>
        <w:t xml:space="preserve">and </w:t>
      </w:r>
      <w:r w:rsidR="00C04859">
        <w:rPr>
          <w:rFonts w:ascii="Garamond" w:eastAsia="Garamond" w:hAnsi="Garamond" w:cs="Garamond"/>
        </w:rPr>
        <w:t xml:space="preserve">the </w:t>
      </w:r>
      <w:r w:rsidRPr="00993785">
        <w:rPr>
          <w:rFonts w:ascii="Garamond" w:eastAsia="Garamond" w:hAnsi="Garamond" w:cs="Garamond"/>
        </w:rPr>
        <w:t xml:space="preserve">provision of </w:t>
      </w:r>
      <w:r w:rsidR="00843CB9" w:rsidRPr="00993785">
        <w:rPr>
          <w:rFonts w:ascii="Garamond" w:eastAsia="Garamond" w:hAnsi="Garamond" w:cs="Garamond"/>
        </w:rPr>
        <w:t>PAD</w:t>
      </w:r>
      <w:r w:rsidRPr="00993785">
        <w:rPr>
          <w:rFonts w:ascii="Garamond" w:eastAsia="Garamond" w:hAnsi="Garamond" w:cs="Garamond"/>
        </w:rPr>
        <w:t xml:space="preserve"> is that, as more time passes, the risk that the patient will change their mind </w:t>
      </w:r>
      <w:r w:rsidR="00A977E3" w:rsidRPr="00993785">
        <w:rPr>
          <w:rFonts w:ascii="Garamond" w:eastAsia="Garamond" w:hAnsi="Garamond" w:cs="Garamond"/>
        </w:rPr>
        <w:t>increases</w:t>
      </w:r>
      <w:r w:rsidRPr="00993785">
        <w:rPr>
          <w:rFonts w:ascii="Garamond" w:eastAsia="Garamond" w:hAnsi="Garamond" w:cs="Garamond"/>
        </w:rPr>
        <w:t xml:space="preserve">. Or if they are mentally incapacitated, the risk that they </w:t>
      </w:r>
      <w:r w:rsidRPr="00993785">
        <w:rPr>
          <w:rFonts w:ascii="Garamond" w:eastAsia="Garamond" w:hAnsi="Garamond" w:cs="Garamond"/>
          <w:i/>
        </w:rPr>
        <w:t>would</w:t>
      </w:r>
      <w:r w:rsidRPr="00993785">
        <w:rPr>
          <w:rFonts w:ascii="Garamond" w:eastAsia="Garamond" w:hAnsi="Garamond" w:cs="Garamond"/>
        </w:rPr>
        <w:t xml:space="preserve"> have changed their mind increases. In </w:t>
      </w:r>
      <w:r w:rsidR="00AD482A" w:rsidRPr="00993785">
        <w:rPr>
          <w:rFonts w:ascii="Garamond" w:eastAsia="Garamond" w:hAnsi="Garamond" w:cs="Garamond"/>
        </w:rPr>
        <w:t xml:space="preserve">Bobby’s </w:t>
      </w:r>
      <w:r w:rsidRPr="00993785">
        <w:rPr>
          <w:rFonts w:ascii="Garamond" w:eastAsia="Garamond" w:hAnsi="Garamond" w:cs="Garamond"/>
        </w:rPr>
        <w:t xml:space="preserve">case, there is very little risk of him changing his mind (or risk that he would have changed his mind, had he been conscious); in </w:t>
      </w:r>
      <w:r w:rsidR="00AD482A" w:rsidRPr="00993785">
        <w:rPr>
          <w:rFonts w:ascii="Garamond" w:eastAsia="Garamond" w:hAnsi="Garamond" w:cs="Garamond"/>
        </w:rPr>
        <w:t xml:space="preserve">Clara’s </w:t>
      </w:r>
      <w:r w:rsidRPr="00993785">
        <w:rPr>
          <w:rFonts w:ascii="Garamond" w:eastAsia="Garamond" w:hAnsi="Garamond" w:cs="Garamond"/>
        </w:rPr>
        <w:t xml:space="preserve">case, the risk is </w:t>
      </w:r>
      <w:r w:rsidR="00E57AD9" w:rsidRPr="00993785">
        <w:rPr>
          <w:rFonts w:ascii="Garamond" w:eastAsia="Garamond" w:hAnsi="Garamond" w:cs="Garamond"/>
        </w:rPr>
        <w:t>greater</w:t>
      </w:r>
      <w:r w:rsidRPr="00993785">
        <w:rPr>
          <w:rFonts w:ascii="Garamond" w:eastAsia="Garamond" w:hAnsi="Garamond" w:cs="Garamond"/>
        </w:rPr>
        <w:t xml:space="preserve">. </w:t>
      </w:r>
    </w:p>
    <w:p w14:paraId="60A2E694" w14:textId="35F4335C" w:rsidR="00F72E1A" w:rsidRPr="00993785" w:rsidRDefault="00FA5798" w:rsidP="00EA3155">
      <w:pPr>
        <w:spacing w:line="480" w:lineRule="auto"/>
        <w:ind w:firstLine="720"/>
        <w:jc w:val="both"/>
        <w:rPr>
          <w:rFonts w:ascii="Garamond" w:eastAsia="Garamond" w:hAnsi="Garamond" w:cs="Garamond"/>
        </w:rPr>
      </w:pPr>
      <w:r>
        <w:rPr>
          <w:rFonts w:ascii="Garamond" w:eastAsia="Garamond" w:hAnsi="Garamond" w:cs="Garamond"/>
        </w:rPr>
        <w:t>We</w:t>
      </w:r>
      <w:r w:rsidR="00F72E1A" w:rsidRPr="00993785">
        <w:rPr>
          <w:rFonts w:ascii="Garamond" w:eastAsia="Garamond" w:hAnsi="Garamond" w:cs="Garamond"/>
        </w:rPr>
        <w:t xml:space="preserve"> grant that it would be a moral mistake to provide </w:t>
      </w:r>
      <w:r w:rsidR="00843CB9" w:rsidRPr="00993785">
        <w:rPr>
          <w:rFonts w:ascii="Garamond" w:eastAsia="Garamond" w:hAnsi="Garamond" w:cs="Garamond"/>
        </w:rPr>
        <w:t>PAD</w:t>
      </w:r>
      <w:r w:rsidR="00F72E1A" w:rsidRPr="00993785">
        <w:rPr>
          <w:rFonts w:ascii="Garamond" w:eastAsia="Garamond" w:hAnsi="Garamond" w:cs="Garamond"/>
        </w:rPr>
        <w:t xml:space="preserve"> to someone who would have revoked consent if informed and competent. If allowing more time to pass between </w:t>
      </w:r>
      <w:r w:rsidR="002C431D">
        <w:rPr>
          <w:rFonts w:ascii="Garamond" w:eastAsia="Garamond" w:hAnsi="Garamond" w:cs="Garamond"/>
        </w:rPr>
        <w:t xml:space="preserve">the </w:t>
      </w:r>
      <w:r w:rsidR="00F72E1A" w:rsidRPr="00993785">
        <w:rPr>
          <w:rFonts w:ascii="Garamond" w:eastAsia="Garamond" w:hAnsi="Garamond" w:cs="Garamond"/>
        </w:rPr>
        <w:t xml:space="preserve">request </w:t>
      </w:r>
      <w:r w:rsidR="002C431D">
        <w:rPr>
          <w:rFonts w:ascii="Garamond" w:eastAsia="Garamond" w:hAnsi="Garamond" w:cs="Garamond"/>
        </w:rPr>
        <w:t xml:space="preserve">for </w:t>
      </w:r>
      <w:r w:rsidR="00F72E1A" w:rsidRPr="00993785">
        <w:rPr>
          <w:rFonts w:ascii="Garamond" w:eastAsia="Garamond" w:hAnsi="Garamond" w:cs="Garamond"/>
        </w:rPr>
        <w:t xml:space="preserve">and </w:t>
      </w:r>
      <w:r w:rsidR="00C04859">
        <w:rPr>
          <w:rFonts w:ascii="Garamond" w:eastAsia="Garamond" w:hAnsi="Garamond" w:cs="Garamond"/>
        </w:rPr>
        <w:t xml:space="preserve">the </w:t>
      </w:r>
      <w:r w:rsidR="00F72E1A" w:rsidRPr="00993785">
        <w:rPr>
          <w:rFonts w:ascii="Garamond" w:eastAsia="Garamond" w:hAnsi="Garamond" w:cs="Garamond"/>
        </w:rPr>
        <w:t xml:space="preserve">provision of </w:t>
      </w:r>
      <w:r w:rsidR="00843CB9" w:rsidRPr="00993785">
        <w:rPr>
          <w:rFonts w:ascii="Garamond" w:eastAsia="Garamond" w:hAnsi="Garamond" w:cs="Garamond"/>
        </w:rPr>
        <w:t>PAD</w:t>
      </w:r>
      <w:r w:rsidR="00F72E1A" w:rsidRPr="00993785">
        <w:rPr>
          <w:rFonts w:ascii="Garamond" w:eastAsia="Garamond" w:hAnsi="Garamond" w:cs="Garamond"/>
        </w:rPr>
        <w:t xml:space="preserve"> increases the risk of making that mistake, that could provide reason to limit </w:t>
      </w:r>
      <w:r w:rsidR="00F72E1A" w:rsidRPr="00993785">
        <w:rPr>
          <w:rFonts w:ascii="Garamond" w:eastAsia="Garamond" w:hAnsi="Garamond" w:cs="Garamond"/>
        </w:rPr>
        <w:lastRenderedPageBreak/>
        <w:t xml:space="preserve">the amount of time that can pass between the request </w:t>
      </w:r>
      <w:r w:rsidR="002C431D">
        <w:rPr>
          <w:rFonts w:ascii="Garamond" w:eastAsia="Garamond" w:hAnsi="Garamond" w:cs="Garamond"/>
        </w:rPr>
        <w:t xml:space="preserve">for </w:t>
      </w:r>
      <w:r w:rsidR="00F72E1A" w:rsidRPr="00993785">
        <w:rPr>
          <w:rFonts w:ascii="Garamond" w:eastAsia="Garamond" w:hAnsi="Garamond" w:cs="Garamond"/>
        </w:rPr>
        <w:t xml:space="preserve">and provision of </w:t>
      </w:r>
      <w:r w:rsidR="00843CB9" w:rsidRPr="00993785">
        <w:rPr>
          <w:rFonts w:ascii="Garamond" w:eastAsia="Garamond" w:hAnsi="Garamond" w:cs="Garamond"/>
        </w:rPr>
        <w:t>PAD</w:t>
      </w:r>
      <w:r w:rsidR="00F72E1A" w:rsidRPr="00993785">
        <w:rPr>
          <w:rFonts w:ascii="Garamond" w:eastAsia="Garamond" w:hAnsi="Garamond" w:cs="Garamond"/>
        </w:rPr>
        <w:t xml:space="preserve">. But that </w:t>
      </w:r>
      <w:r w:rsidR="00AA375F" w:rsidRPr="00993785">
        <w:rPr>
          <w:rFonts w:ascii="Garamond" w:eastAsia="Garamond" w:hAnsi="Garamond" w:cs="Garamond"/>
        </w:rPr>
        <w:t>does not</w:t>
      </w:r>
      <w:r w:rsidR="00F72E1A" w:rsidRPr="00993785">
        <w:rPr>
          <w:rFonts w:ascii="Garamond" w:eastAsia="Garamond" w:hAnsi="Garamond" w:cs="Garamond"/>
        </w:rPr>
        <w:t xml:space="preserve"> provide reason to </w:t>
      </w:r>
      <w:r w:rsidR="0034454D">
        <w:rPr>
          <w:rFonts w:ascii="Garamond" w:eastAsia="Garamond" w:hAnsi="Garamond" w:cs="Garamond"/>
        </w:rPr>
        <w:t>completely prohibit</w:t>
      </w:r>
      <w:r>
        <w:rPr>
          <w:rFonts w:ascii="Garamond" w:eastAsia="Garamond" w:hAnsi="Garamond" w:cs="Garamond"/>
        </w:rPr>
        <w:t xml:space="preserve"> </w:t>
      </w:r>
      <w:r w:rsidR="00AD482A" w:rsidRPr="00993785">
        <w:rPr>
          <w:rFonts w:ascii="Garamond" w:eastAsia="Garamond" w:hAnsi="Garamond" w:cs="Garamond"/>
        </w:rPr>
        <w:t>advance directive-requested PAD</w:t>
      </w:r>
      <w:r w:rsidR="00F72E1A" w:rsidRPr="00993785">
        <w:rPr>
          <w:rFonts w:ascii="Garamond" w:eastAsia="Garamond" w:hAnsi="Garamond" w:cs="Garamond"/>
        </w:rPr>
        <w:t xml:space="preserve">. To see why, consider </w:t>
      </w:r>
      <w:r w:rsidR="00AD482A" w:rsidRPr="00993785">
        <w:rPr>
          <w:rFonts w:ascii="Garamond" w:eastAsia="Garamond" w:hAnsi="Garamond" w:cs="Garamond"/>
        </w:rPr>
        <w:t>Dawn</w:t>
      </w:r>
      <w:r w:rsidR="00F72E1A" w:rsidRPr="00993785">
        <w:rPr>
          <w:rFonts w:ascii="Garamond" w:eastAsia="Garamond" w:hAnsi="Garamond" w:cs="Garamond"/>
        </w:rPr>
        <w:t>:</w:t>
      </w:r>
    </w:p>
    <w:p w14:paraId="6474A736" w14:textId="1643380A" w:rsidR="00F72E1A" w:rsidRPr="00993785" w:rsidRDefault="00AD482A" w:rsidP="00EA3155">
      <w:pPr>
        <w:ind w:left="720"/>
        <w:jc w:val="both"/>
        <w:rPr>
          <w:rFonts w:ascii="Garamond" w:eastAsia="Garamond" w:hAnsi="Garamond" w:cs="Garamond"/>
          <w:color w:val="000000"/>
        </w:rPr>
      </w:pPr>
      <w:r w:rsidRPr="00993785">
        <w:rPr>
          <w:rFonts w:ascii="Garamond" w:eastAsia="Garamond" w:hAnsi="Garamond" w:cs="Garamond"/>
          <w:b/>
          <w:smallCaps/>
          <w:color w:val="000000"/>
        </w:rPr>
        <w:t>Dawn</w:t>
      </w:r>
      <w:r w:rsidR="00F72E1A" w:rsidRPr="00993785">
        <w:rPr>
          <w:rFonts w:ascii="Garamond" w:eastAsia="Garamond" w:hAnsi="Garamond" w:cs="Garamond"/>
          <w:b/>
          <w:color w:val="000000"/>
        </w:rPr>
        <w:t>:</w:t>
      </w:r>
      <w:r w:rsidR="00F72E1A" w:rsidRPr="00993785">
        <w:rPr>
          <w:rFonts w:ascii="Garamond" w:eastAsia="Garamond" w:hAnsi="Garamond" w:cs="Garamond"/>
          <w:color w:val="000000"/>
        </w:rPr>
        <w:t xml:space="preserve"> At age 75, </w:t>
      </w:r>
      <w:r w:rsidRPr="00993785">
        <w:rPr>
          <w:rFonts w:ascii="Garamond" w:eastAsia="Garamond" w:hAnsi="Garamond" w:cs="Garamond"/>
          <w:color w:val="000000"/>
        </w:rPr>
        <w:t xml:space="preserve">Dawn </w:t>
      </w:r>
      <w:r w:rsidR="00F72E1A" w:rsidRPr="00993785">
        <w:rPr>
          <w:rFonts w:ascii="Garamond" w:eastAsia="Garamond" w:hAnsi="Garamond" w:cs="Garamond"/>
          <w:color w:val="000000"/>
        </w:rPr>
        <w:t xml:space="preserve">signs an advance directive mandating that doctors withdraw all life-sustaining treatment from her if she ever ends up in a state of permanent (or likely permanent) unconsciousness. At age </w:t>
      </w:r>
      <w:r w:rsidR="00EA3155" w:rsidRPr="00993785">
        <w:rPr>
          <w:rFonts w:ascii="Garamond" w:eastAsia="Garamond" w:hAnsi="Garamond" w:cs="Garamond"/>
          <w:color w:val="000000"/>
        </w:rPr>
        <w:t>78</w:t>
      </w:r>
      <w:r w:rsidR="00F72E1A" w:rsidRPr="00993785">
        <w:rPr>
          <w:rFonts w:ascii="Garamond" w:eastAsia="Garamond" w:hAnsi="Garamond" w:cs="Garamond"/>
          <w:color w:val="000000"/>
        </w:rPr>
        <w:t xml:space="preserve">, </w:t>
      </w:r>
      <w:r w:rsidRPr="00993785">
        <w:rPr>
          <w:rFonts w:ascii="Garamond" w:eastAsia="Garamond" w:hAnsi="Garamond" w:cs="Garamond"/>
          <w:color w:val="000000"/>
        </w:rPr>
        <w:t xml:space="preserve">Dawn </w:t>
      </w:r>
      <w:r w:rsidR="00F72E1A" w:rsidRPr="00993785">
        <w:rPr>
          <w:rFonts w:ascii="Garamond" w:eastAsia="Garamond" w:hAnsi="Garamond" w:cs="Garamond"/>
          <w:color w:val="000000"/>
        </w:rPr>
        <w:t xml:space="preserve">is rendered unconscious by a stroke, and is put </w:t>
      </w:r>
      <w:r w:rsidR="008C606B" w:rsidRPr="00993785">
        <w:rPr>
          <w:rFonts w:ascii="Garamond" w:eastAsia="Garamond" w:hAnsi="Garamond" w:cs="Garamond"/>
          <w:color w:val="000000"/>
        </w:rPr>
        <w:t>on life support</w:t>
      </w:r>
      <w:r w:rsidR="00F72E1A" w:rsidRPr="00993785">
        <w:rPr>
          <w:rFonts w:ascii="Garamond" w:eastAsia="Garamond" w:hAnsi="Garamond" w:cs="Garamond"/>
          <w:color w:val="000000"/>
        </w:rPr>
        <w:t xml:space="preserve">. Her doctors judge her to have very little chance of meaningful recovery, and so they follow the mandate set out in her advance directive and remove </w:t>
      </w:r>
      <w:r w:rsidR="008C606B" w:rsidRPr="00993785">
        <w:rPr>
          <w:rFonts w:ascii="Garamond" w:eastAsia="Garamond" w:hAnsi="Garamond" w:cs="Garamond"/>
          <w:color w:val="000000"/>
        </w:rPr>
        <w:t>her from life support</w:t>
      </w:r>
      <w:r w:rsidR="00F72E1A" w:rsidRPr="00993785">
        <w:rPr>
          <w:rFonts w:ascii="Garamond" w:eastAsia="Garamond" w:hAnsi="Garamond" w:cs="Garamond"/>
          <w:color w:val="000000"/>
        </w:rPr>
        <w:t xml:space="preserve">, thus causing her death. </w:t>
      </w:r>
    </w:p>
    <w:p w14:paraId="6A3FAE96" w14:textId="77777777" w:rsidR="00F72E1A" w:rsidRPr="00993785" w:rsidRDefault="00F72E1A" w:rsidP="00EA3155">
      <w:pPr>
        <w:ind w:left="720"/>
        <w:jc w:val="both"/>
        <w:rPr>
          <w:rFonts w:ascii="Garamond" w:eastAsia="Times New Roman" w:hAnsi="Garamond" w:cs="Times New Roman"/>
        </w:rPr>
      </w:pPr>
    </w:p>
    <w:p w14:paraId="63D657A2" w14:textId="148837C6" w:rsidR="00AB1785" w:rsidRPr="00993785" w:rsidRDefault="00F72E1A" w:rsidP="00EA3155">
      <w:pPr>
        <w:spacing w:line="480" w:lineRule="auto"/>
        <w:jc w:val="both"/>
        <w:rPr>
          <w:rFonts w:ascii="Garamond" w:eastAsia="Garamond" w:hAnsi="Garamond" w:cs="Garamond"/>
        </w:rPr>
      </w:pPr>
      <w:r w:rsidRPr="00993785">
        <w:rPr>
          <w:rFonts w:ascii="Garamond" w:eastAsia="Garamond" w:hAnsi="Garamond" w:cs="Garamond"/>
        </w:rPr>
        <w:t xml:space="preserve">A lot might have changed in the </w:t>
      </w:r>
      <w:r w:rsidR="00EA3155" w:rsidRPr="00993785">
        <w:rPr>
          <w:rFonts w:ascii="Garamond" w:eastAsia="Garamond" w:hAnsi="Garamond" w:cs="Garamond"/>
        </w:rPr>
        <w:t>three</w:t>
      </w:r>
      <w:r w:rsidRPr="00993785">
        <w:rPr>
          <w:rFonts w:ascii="Garamond" w:eastAsia="Garamond" w:hAnsi="Garamond" w:cs="Garamond"/>
        </w:rPr>
        <w:t xml:space="preserve"> years that elapsed between </w:t>
      </w:r>
      <w:r w:rsidR="00AD482A" w:rsidRPr="00993785">
        <w:rPr>
          <w:rFonts w:ascii="Garamond" w:eastAsia="Garamond" w:hAnsi="Garamond" w:cs="Garamond"/>
        </w:rPr>
        <w:t xml:space="preserve">Dawn </w:t>
      </w:r>
      <w:r w:rsidRPr="00993785">
        <w:rPr>
          <w:rFonts w:ascii="Garamond" w:eastAsia="Garamond" w:hAnsi="Garamond" w:cs="Garamond"/>
        </w:rPr>
        <w:t xml:space="preserve">signing the advance directive and suffering the stroke, including, perhaps, her attitudes towards life support. Certainly, if we know that </w:t>
      </w:r>
      <w:r w:rsidR="00AD482A" w:rsidRPr="00993785">
        <w:rPr>
          <w:rFonts w:ascii="Garamond" w:eastAsia="Garamond" w:hAnsi="Garamond" w:cs="Garamond"/>
        </w:rPr>
        <w:t xml:space="preserve">Dawn </w:t>
      </w:r>
      <w:r w:rsidRPr="00993785">
        <w:rPr>
          <w:rFonts w:ascii="Garamond" w:eastAsia="Garamond" w:hAnsi="Garamond" w:cs="Garamond"/>
          <w:i/>
        </w:rPr>
        <w:t>would</w:t>
      </w:r>
      <w:r w:rsidRPr="00993785">
        <w:rPr>
          <w:rFonts w:ascii="Garamond" w:eastAsia="Garamond" w:hAnsi="Garamond" w:cs="Garamond"/>
        </w:rPr>
        <w:t xml:space="preserve"> have revoked consent to </w:t>
      </w:r>
      <w:r w:rsidR="008C606B" w:rsidRPr="00993785">
        <w:rPr>
          <w:rFonts w:ascii="Garamond" w:eastAsia="Garamond" w:hAnsi="Garamond" w:cs="Garamond"/>
        </w:rPr>
        <w:t>withdraw care</w:t>
      </w:r>
      <w:r w:rsidRPr="00993785">
        <w:rPr>
          <w:rFonts w:ascii="Garamond" w:eastAsia="Garamond" w:hAnsi="Garamond" w:cs="Garamond"/>
        </w:rPr>
        <w:t xml:space="preserve"> if she were able to do so, that would undermine the permissibility of removing </w:t>
      </w:r>
      <w:r w:rsidR="008C606B" w:rsidRPr="00993785">
        <w:rPr>
          <w:rFonts w:ascii="Garamond" w:eastAsia="Garamond" w:hAnsi="Garamond" w:cs="Garamond"/>
        </w:rPr>
        <w:t>her life support</w:t>
      </w:r>
      <w:r w:rsidRPr="00993785">
        <w:rPr>
          <w:rFonts w:ascii="Garamond" w:eastAsia="Garamond" w:hAnsi="Garamond" w:cs="Garamond"/>
        </w:rPr>
        <w:t xml:space="preserve">. But the mere chance that she </w:t>
      </w:r>
      <w:r w:rsidRPr="00993785">
        <w:rPr>
          <w:rFonts w:ascii="Garamond" w:eastAsia="Garamond" w:hAnsi="Garamond" w:cs="Garamond"/>
          <w:i/>
        </w:rPr>
        <w:t>might</w:t>
      </w:r>
      <w:r w:rsidRPr="00993785">
        <w:rPr>
          <w:rFonts w:ascii="Garamond" w:eastAsia="Garamond" w:hAnsi="Garamond" w:cs="Garamond"/>
        </w:rPr>
        <w:t xml:space="preserve"> have revoked her previous consent cannot </w:t>
      </w:r>
      <w:r w:rsidR="009D6A1D" w:rsidRPr="00993785">
        <w:rPr>
          <w:rFonts w:ascii="Garamond" w:eastAsia="Garamond" w:hAnsi="Garamond" w:cs="Garamond"/>
        </w:rPr>
        <w:t xml:space="preserve">itself </w:t>
      </w:r>
      <w:r w:rsidRPr="00993785">
        <w:rPr>
          <w:rFonts w:ascii="Garamond" w:eastAsia="Garamond" w:hAnsi="Garamond" w:cs="Garamond"/>
        </w:rPr>
        <w:t xml:space="preserve">render withdrawing </w:t>
      </w:r>
      <w:r w:rsidR="008C606B" w:rsidRPr="00993785">
        <w:rPr>
          <w:rFonts w:ascii="Garamond" w:eastAsia="Garamond" w:hAnsi="Garamond" w:cs="Garamond"/>
        </w:rPr>
        <w:t xml:space="preserve">life support </w:t>
      </w:r>
      <w:r w:rsidRPr="00993785">
        <w:rPr>
          <w:rFonts w:ascii="Garamond" w:eastAsia="Garamond" w:hAnsi="Garamond" w:cs="Garamond"/>
        </w:rPr>
        <w:t>impermissible. There is always a possibility that a patient might have revoked consent between signing an advance directive and receiving whatever care was outlined in it</w:t>
      </w:r>
      <w:r w:rsidR="008C606B" w:rsidRPr="00993785">
        <w:rPr>
          <w:rFonts w:ascii="Garamond" w:eastAsia="Garamond" w:hAnsi="Garamond" w:cs="Garamond"/>
        </w:rPr>
        <w:t xml:space="preserve">, </w:t>
      </w:r>
      <w:r w:rsidRPr="00993785">
        <w:rPr>
          <w:rFonts w:ascii="Garamond" w:eastAsia="Garamond" w:hAnsi="Garamond" w:cs="Garamond"/>
        </w:rPr>
        <w:t xml:space="preserve">but this possibility does not give us reason to abandon the practice of abiding by patients’ advance directives. </w:t>
      </w:r>
      <w:r w:rsidR="00FA5798">
        <w:rPr>
          <w:rFonts w:ascii="Garamond" w:eastAsia="Garamond" w:hAnsi="Garamond" w:cs="Garamond"/>
        </w:rPr>
        <w:t>The</w:t>
      </w:r>
      <w:r w:rsidR="00AB1785" w:rsidRPr="00993785">
        <w:rPr>
          <w:rFonts w:ascii="Garamond" w:eastAsia="Garamond" w:hAnsi="Garamond" w:cs="Garamond"/>
        </w:rPr>
        <w:t xml:space="preserve"> ability to dictate the limits of one’s medical care is too important a right to be abandoned because of this implication.</w:t>
      </w:r>
      <w:r w:rsidR="00AB1785" w:rsidRPr="00993785">
        <w:rPr>
          <w:rStyle w:val="FootnoteReference"/>
          <w:rFonts w:ascii="Garamond" w:eastAsia="Garamond" w:hAnsi="Garamond" w:cs="Garamond"/>
        </w:rPr>
        <w:footnoteReference w:id="9"/>
      </w:r>
    </w:p>
    <w:p w14:paraId="7B23DF46" w14:textId="61771B7B"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This means that we cannot coherently deny the permissibility of </w:t>
      </w:r>
      <w:r w:rsidR="00AD482A" w:rsidRPr="00993785">
        <w:rPr>
          <w:rFonts w:ascii="Garamond" w:eastAsia="Garamond" w:hAnsi="Garamond" w:cs="Garamond"/>
        </w:rPr>
        <w:t xml:space="preserve">advance directive-requested </w:t>
      </w:r>
      <w:r w:rsidR="00843CB9" w:rsidRPr="00993785">
        <w:rPr>
          <w:rFonts w:ascii="Garamond" w:eastAsia="Garamond" w:hAnsi="Garamond" w:cs="Garamond"/>
        </w:rPr>
        <w:t>PAD</w:t>
      </w:r>
      <w:r w:rsidRPr="00993785">
        <w:rPr>
          <w:rFonts w:ascii="Garamond" w:eastAsia="Garamond" w:hAnsi="Garamond" w:cs="Garamond"/>
        </w:rPr>
        <w:t xml:space="preserve"> out of concern that the patient’s will might have changed, unless we also want to deny the permissibility of </w:t>
      </w:r>
      <w:r w:rsidR="00AD482A" w:rsidRPr="00993785">
        <w:rPr>
          <w:rFonts w:ascii="Garamond" w:eastAsia="Garamond" w:hAnsi="Garamond" w:cs="Garamond"/>
        </w:rPr>
        <w:t xml:space="preserve">advance directive-requested </w:t>
      </w:r>
      <w:r w:rsidR="00EA3155" w:rsidRPr="00993785">
        <w:rPr>
          <w:rFonts w:ascii="Garamond" w:eastAsia="Garamond" w:hAnsi="Garamond" w:cs="Garamond"/>
        </w:rPr>
        <w:t>withdrawal of care</w:t>
      </w:r>
      <w:r w:rsidR="00AD482A" w:rsidRPr="00993785">
        <w:rPr>
          <w:rFonts w:ascii="Garamond" w:eastAsia="Garamond" w:hAnsi="Garamond" w:cs="Garamond"/>
        </w:rPr>
        <w:t xml:space="preserve"> </w:t>
      </w:r>
      <w:r w:rsidRPr="00993785">
        <w:rPr>
          <w:rFonts w:ascii="Garamond" w:eastAsia="Garamond" w:hAnsi="Garamond" w:cs="Garamond"/>
        </w:rPr>
        <w:t xml:space="preserve">on the same grounds. </w:t>
      </w:r>
      <w:r w:rsidR="00FA5798">
        <w:rPr>
          <w:rFonts w:ascii="Garamond" w:eastAsia="Garamond" w:hAnsi="Garamond" w:cs="Garamond"/>
        </w:rPr>
        <w:t>B</w:t>
      </w:r>
      <w:r w:rsidR="009D6A1D" w:rsidRPr="00993785">
        <w:rPr>
          <w:rFonts w:ascii="Garamond" w:eastAsia="Garamond" w:hAnsi="Garamond" w:cs="Garamond"/>
        </w:rPr>
        <w:t xml:space="preserve">oth </w:t>
      </w:r>
      <w:r w:rsidR="00AD482A" w:rsidRPr="00993785">
        <w:rPr>
          <w:rFonts w:ascii="Garamond" w:eastAsia="Garamond" w:hAnsi="Garamond" w:cs="Garamond"/>
        </w:rPr>
        <w:t>practices involve</w:t>
      </w:r>
      <w:r w:rsidR="009D6A1D" w:rsidRPr="00993785">
        <w:rPr>
          <w:rFonts w:ascii="Garamond" w:eastAsia="Garamond" w:hAnsi="Garamond" w:cs="Garamond"/>
        </w:rPr>
        <w:t xml:space="preserve"> high stakes situations, and</w:t>
      </w:r>
      <w:r w:rsidRPr="00993785">
        <w:rPr>
          <w:rFonts w:ascii="Garamond" w:eastAsia="Garamond" w:hAnsi="Garamond" w:cs="Garamond"/>
        </w:rPr>
        <w:t xml:space="preserve"> any reason to think </w:t>
      </w:r>
      <w:r w:rsidR="002C431D">
        <w:rPr>
          <w:rFonts w:ascii="Garamond" w:eastAsia="Garamond" w:hAnsi="Garamond" w:cs="Garamond"/>
        </w:rPr>
        <w:t xml:space="preserve">that </w:t>
      </w:r>
      <w:r w:rsidRPr="00993785">
        <w:rPr>
          <w:rFonts w:ascii="Garamond" w:eastAsia="Garamond" w:hAnsi="Garamond" w:cs="Garamond"/>
        </w:rPr>
        <w:t xml:space="preserve">a patient’s will might have changed after requesting </w:t>
      </w:r>
      <w:r w:rsidR="00AD482A" w:rsidRPr="00993785">
        <w:rPr>
          <w:rFonts w:ascii="Garamond" w:eastAsia="Garamond" w:hAnsi="Garamond" w:cs="Garamond"/>
        </w:rPr>
        <w:t>PAD via an advance directive</w:t>
      </w:r>
      <w:r w:rsidRPr="00993785">
        <w:rPr>
          <w:rFonts w:ascii="Garamond" w:eastAsia="Garamond" w:hAnsi="Garamond" w:cs="Garamond"/>
        </w:rPr>
        <w:t xml:space="preserve"> is a</w:t>
      </w:r>
      <w:r w:rsidR="009D6A1D" w:rsidRPr="00993785">
        <w:rPr>
          <w:rFonts w:ascii="Garamond" w:eastAsia="Garamond" w:hAnsi="Garamond" w:cs="Garamond"/>
        </w:rPr>
        <w:t>lso</w:t>
      </w:r>
      <w:r w:rsidRPr="00993785">
        <w:rPr>
          <w:rFonts w:ascii="Garamond" w:eastAsia="Garamond" w:hAnsi="Garamond" w:cs="Garamond"/>
        </w:rPr>
        <w:t xml:space="preserve"> reason to think </w:t>
      </w:r>
      <w:r w:rsidR="002C431D">
        <w:rPr>
          <w:rFonts w:ascii="Garamond" w:eastAsia="Garamond" w:hAnsi="Garamond" w:cs="Garamond"/>
        </w:rPr>
        <w:t xml:space="preserve">that </w:t>
      </w:r>
      <w:r w:rsidRPr="00993785">
        <w:rPr>
          <w:rFonts w:ascii="Garamond" w:eastAsia="Garamond" w:hAnsi="Garamond" w:cs="Garamond"/>
        </w:rPr>
        <w:t xml:space="preserve">a patient’s </w:t>
      </w:r>
      <w:r w:rsidR="009D6A1D" w:rsidRPr="00993785">
        <w:rPr>
          <w:rFonts w:ascii="Garamond" w:eastAsia="Garamond" w:hAnsi="Garamond" w:cs="Garamond"/>
        </w:rPr>
        <w:t xml:space="preserve">will </w:t>
      </w:r>
      <w:r w:rsidRPr="00993785">
        <w:rPr>
          <w:rFonts w:ascii="Garamond" w:eastAsia="Garamond" w:hAnsi="Garamond" w:cs="Garamond"/>
        </w:rPr>
        <w:t xml:space="preserve">might have changed after requesting </w:t>
      </w:r>
      <w:r w:rsidR="00AD482A" w:rsidRPr="00993785">
        <w:rPr>
          <w:rFonts w:ascii="Garamond" w:eastAsia="Garamond" w:hAnsi="Garamond" w:cs="Garamond"/>
        </w:rPr>
        <w:t>withdrawal of care via an advance directive</w:t>
      </w:r>
      <w:r w:rsidRPr="00993785">
        <w:rPr>
          <w:rFonts w:ascii="Garamond" w:eastAsia="Garamond" w:hAnsi="Garamond" w:cs="Garamond"/>
        </w:rPr>
        <w:t xml:space="preserve">. If concerns about the stability of the patient’s will are sufficient to render </w:t>
      </w:r>
      <w:r w:rsidR="00AD482A" w:rsidRPr="00993785">
        <w:rPr>
          <w:rFonts w:ascii="Garamond" w:eastAsia="Garamond" w:hAnsi="Garamond" w:cs="Garamond"/>
        </w:rPr>
        <w:t>the former practice</w:t>
      </w:r>
      <w:r w:rsidRPr="00993785">
        <w:rPr>
          <w:rFonts w:ascii="Garamond" w:eastAsia="Garamond" w:hAnsi="Garamond" w:cs="Garamond"/>
        </w:rPr>
        <w:t xml:space="preserve"> impermissible, they would be sufficient to render </w:t>
      </w:r>
      <w:r w:rsidR="00AD482A" w:rsidRPr="00993785">
        <w:rPr>
          <w:rFonts w:ascii="Garamond" w:eastAsia="Garamond" w:hAnsi="Garamond" w:cs="Garamond"/>
        </w:rPr>
        <w:t>the latter</w:t>
      </w:r>
      <w:r w:rsidRPr="00993785">
        <w:rPr>
          <w:rFonts w:ascii="Garamond" w:eastAsia="Garamond" w:hAnsi="Garamond" w:cs="Garamond"/>
        </w:rPr>
        <w:t xml:space="preserve"> impermissible</w:t>
      </w:r>
      <w:r w:rsidR="00AD482A" w:rsidRPr="00993785">
        <w:rPr>
          <w:rFonts w:ascii="Garamond" w:eastAsia="Garamond" w:hAnsi="Garamond" w:cs="Garamond"/>
        </w:rPr>
        <w:t xml:space="preserve"> as well</w:t>
      </w:r>
      <w:r w:rsidRPr="00993785">
        <w:rPr>
          <w:rFonts w:ascii="Garamond" w:eastAsia="Garamond" w:hAnsi="Garamond" w:cs="Garamond"/>
        </w:rPr>
        <w:t xml:space="preserve">. But they are not sufficient to render </w:t>
      </w:r>
      <w:r w:rsidR="00AD482A" w:rsidRPr="00993785">
        <w:rPr>
          <w:rFonts w:ascii="Garamond" w:eastAsia="Garamond" w:hAnsi="Garamond" w:cs="Garamond"/>
        </w:rPr>
        <w:t>advance directive-</w:t>
      </w:r>
      <w:r w:rsidR="00AD482A" w:rsidRPr="00993785">
        <w:rPr>
          <w:rFonts w:ascii="Garamond" w:eastAsia="Garamond" w:hAnsi="Garamond" w:cs="Garamond"/>
        </w:rPr>
        <w:lastRenderedPageBreak/>
        <w:t xml:space="preserve">requested </w:t>
      </w:r>
      <w:r w:rsidR="00EA3155" w:rsidRPr="00993785">
        <w:rPr>
          <w:rFonts w:ascii="Garamond" w:eastAsia="Garamond" w:hAnsi="Garamond" w:cs="Garamond"/>
        </w:rPr>
        <w:t>withdrawal of care</w:t>
      </w:r>
      <w:r w:rsidRPr="00993785">
        <w:rPr>
          <w:rFonts w:ascii="Garamond" w:eastAsia="Garamond" w:hAnsi="Garamond" w:cs="Garamond"/>
        </w:rPr>
        <w:t xml:space="preserve"> impermissible. </w:t>
      </w:r>
      <w:r w:rsidR="006C00F5" w:rsidRPr="00993785">
        <w:rPr>
          <w:rFonts w:ascii="Garamond" w:eastAsia="Garamond" w:hAnsi="Garamond" w:cs="Garamond"/>
        </w:rPr>
        <w:t>As such,</w:t>
      </w:r>
      <w:r w:rsidRPr="00993785">
        <w:rPr>
          <w:rFonts w:ascii="Garamond" w:eastAsia="Garamond" w:hAnsi="Garamond" w:cs="Garamond"/>
        </w:rPr>
        <w:t xml:space="preserve"> they are </w:t>
      </w:r>
      <w:r w:rsidR="006C00F5" w:rsidRPr="00993785">
        <w:rPr>
          <w:rFonts w:ascii="Garamond" w:eastAsia="Garamond" w:hAnsi="Garamond" w:cs="Garamond"/>
        </w:rPr>
        <w:t xml:space="preserve">also </w:t>
      </w:r>
      <w:r w:rsidRPr="00993785">
        <w:rPr>
          <w:rFonts w:ascii="Garamond" w:eastAsia="Garamond" w:hAnsi="Garamond" w:cs="Garamond"/>
        </w:rPr>
        <w:t xml:space="preserve">not sufficient to render </w:t>
      </w:r>
      <w:r w:rsidR="00AD482A" w:rsidRPr="00993785">
        <w:rPr>
          <w:rFonts w:ascii="Garamond" w:eastAsia="Garamond" w:hAnsi="Garamond" w:cs="Garamond"/>
        </w:rPr>
        <w:t xml:space="preserve">advance directive-requested </w:t>
      </w:r>
      <w:r w:rsidR="00843CB9" w:rsidRPr="00993785">
        <w:rPr>
          <w:rFonts w:ascii="Garamond" w:eastAsia="Garamond" w:hAnsi="Garamond" w:cs="Garamond"/>
        </w:rPr>
        <w:t>PAD</w:t>
      </w:r>
      <w:r w:rsidRPr="00993785">
        <w:rPr>
          <w:rFonts w:ascii="Garamond" w:eastAsia="Garamond" w:hAnsi="Garamond" w:cs="Garamond"/>
        </w:rPr>
        <w:t xml:space="preserve"> impermissible.</w:t>
      </w:r>
    </w:p>
    <w:p w14:paraId="13A08AD2" w14:textId="77777777" w:rsidR="00BE123A" w:rsidRPr="00993785" w:rsidRDefault="00BE123A" w:rsidP="00EA3155">
      <w:pPr>
        <w:spacing w:line="480" w:lineRule="auto"/>
        <w:ind w:firstLine="720"/>
        <w:jc w:val="both"/>
        <w:rPr>
          <w:rFonts w:ascii="Garamond" w:eastAsia="Garamond" w:hAnsi="Garamond" w:cs="Garamond"/>
        </w:rPr>
      </w:pPr>
    </w:p>
    <w:p w14:paraId="2A3982F5" w14:textId="77777777" w:rsidR="00F72E1A" w:rsidRPr="00993785" w:rsidRDefault="00F72E1A" w:rsidP="00EA3155">
      <w:pPr>
        <w:spacing w:line="480" w:lineRule="auto"/>
        <w:jc w:val="both"/>
        <w:outlineLvl w:val="0"/>
        <w:rPr>
          <w:rFonts w:ascii="Garamond" w:eastAsia="Garamond" w:hAnsi="Garamond" w:cs="Garamond"/>
          <w:b/>
        </w:rPr>
      </w:pPr>
      <w:r w:rsidRPr="00993785">
        <w:rPr>
          <w:rFonts w:ascii="Garamond" w:eastAsia="Garamond" w:hAnsi="Garamond" w:cs="Garamond"/>
          <w:b/>
        </w:rPr>
        <w:t>2.3—Appeal to Risk of Killing Against the Patient’s Will</w:t>
      </w:r>
    </w:p>
    <w:p w14:paraId="7B61B4A9" w14:textId="24D80CAC" w:rsidR="00F72E1A" w:rsidRPr="00993785" w:rsidRDefault="00F72E1A" w:rsidP="00EA3155">
      <w:pPr>
        <w:spacing w:line="480" w:lineRule="auto"/>
        <w:jc w:val="both"/>
        <w:rPr>
          <w:rFonts w:ascii="Garamond" w:eastAsia="Garamond" w:hAnsi="Garamond" w:cs="Garamond"/>
        </w:rPr>
      </w:pPr>
      <w:r w:rsidRPr="00993785">
        <w:rPr>
          <w:rFonts w:ascii="Garamond" w:eastAsia="Garamond" w:hAnsi="Garamond" w:cs="Garamond"/>
        </w:rPr>
        <w:t>We just argued that</w:t>
      </w:r>
      <w:r w:rsidR="003F64F8" w:rsidRPr="00993785">
        <w:rPr>
          <w:rFonts w:ascii="Garamond" w:eastAsia="Garamond" w:hAnsi="Garamond" w:cs="Garamond"/>
        </w:rPr>
        <w:t>,</w:t>
      </w:r>
      <w:r w:rsidRPr="00993785">
        <w:rPr>
          <w:rFonts w:ascii="Garamond" w:eastAsia="Garamond" w:hAnsi="Garamond" w:cs="Garamond"/>
        </w:rPr>
        <w:t xml:space="preserve"> if concerns about the stability of </w:t>
      </w:r>
      <w:r w:rsidR="003F64F8" w:rsidRPr="00993785">
        <w:rPr>
          <w:rFonts w:ascii="Garamond" w:eastAsia="Garamond" w:hAnsi="Garamond" w:cs="Garamond"/>
        </w:rPr>
        <w:t xml:space="preserve">a </w:t>
      </w:r>
      <w:r w:rsidRPr="00993785">
        <w:rPr>
          <w:rFonts w:ascii="Garamond" w:eastAsia="Garamond" w:hAnsi="Garamond" w:cs="Garamond"/>
        </w:rPr>
        <w:t xml:space="preserve">patient’s will undermine </w:t>
      </w:r>
      <w:r w:rsidR="00AD482A" w:rsidRPr="00993785">
        <w:rPr>
          <w:rFonts w:ascii="Garamond" w:eastAsia="Garamond" w:hAnsi="Garamond" w:cs="Garamond"/>
        </w:rPr>
        <w:t>the permissibility of advance directive-requested PAD</w:t>
      </w:r>
      <w:r w:rsidRPr="00993785">
        <w:rPr>
          <w:rFonts w:ascii="Garamond" w:eastAsia="Garamond" w:hAnsi="Garamond" w:cs="Garamond"/>
        </w:rPr>
        <w:t xml:space="preserve">, they also undermine </w:t>
      </w:r>
      <w:r w:rsidR="00AD482A" w:rsidRPr="00993785">
        <w:rPr>
          <w:rFonts w:ascii="Garamond" w:eastAsia="Garamond" w:hAnsi="Garamond" w:cs="Garamond"/>
        </w:rPr>
        <w:t xml:space="preserve">the permissibility of advance directive-requested </w:t>
      </w:r>
      <w:r w:rsidR="006C00F5" w:rsidRPr="00993785">
        <w:rPr>
          <w:rFonts w:ascii="Garamond" w:eastAsia="Garamond" w:hAnsi="Garamond" w:cs="Garamond"/>
        </w:rPr>
        <w:t>withdrawal of care</w:t>
      </w:r>
      <w:r w:rsidRPr="00993785">
        <w:rPr>
          <w:rFonts w:ascii="Garamond" w:eastAsia="Garamond" w:hAnsi="Garamond" w:cs="Garamond"/>
        </w:rPr>
        <w:t>. How might an opponent avoid this implication</w:t>
      </w:r>
      <w:r w:rsidR="009D6A1D" w:rsidRPr="00993785">
        <w:rPr>
          <w:rFonts w:ascii="Garamond" w:eastAsia="Garamond" w:hAnsi="Garamond" w:cs="Garamond"/>
        </w:rPr>
        <w:t xml:space="preserve">, and thus maintain an objection to </w:t>
      </w:r>
      <w:r w:rsidR="00DD4AFE" w:rsidRPr="00993785">
        <w:rPr>
          <w:rFonts w:ascii="Garamond" w:eastAsia="Garamond" w:hAnsi="Garamond" w:cs="Garamond"/>
        </w:rPr>
        <w:t xml:space="preserve">advance directive-requested PAD that does not imply the impermissibility of preemptively requesting </w:t>
      </w:r>
      <w:r w:rsidR="006C00F5" w:rsidRPr="00993785">
        <w:rPr>
          <w:rFonts w:ascii="Garamond" w:eastAsia="Garamond" w:hAnsi="Garamond" w:cs="Garamond"/>
        </w:rPr>
        <w:t>that life-sustaining care be withdrawn</w:t>
      </w:r>
      <w:r w:rsidRPr="00993785">
        <w:rPr>
          <w:rFonts w:ascii="Garamond" w:eastAsia="Garamond" w:hAnsi="Garamond" w:cs="Garamond"/>
        </w:rPr>
        <w:t xml:space="preserve">? Perhaps they could argue that implementing </w:t>
      </w:r>
      <w:r w:rsidR="00DD4AFE" w:rsidRPr="00993785">
        <w:rPr>
          <w:rFonts w:ascii="Garamond" w:eastAsia="Garamond" w:hAnsi="Garamond" w:cs="Garamond"/>
        </w:rPr>
        <w:t>the former practice</w:t>
      </w:r>
      <w:r w:rsidRPr="00993785">
        <w:rPr>
          <w:rFonts w:ascii="Garamond" w:eastAsia="Garamond" w:hAnsi="Garamond" w:cs="Garamond"/>
        </w:rPr>
        <w:t xml:space="preserve"> is riskier than implementing </w:t>
      </w:r>
      <w:r w:rsidR="00DD4AFE" w:rsidRPr="00993785">
        <w:rPr>
          <w:rFonts w:ascii="Garamond" w:eastAsia="Garamond" w:hAnsi="Garamond" w:cs="Garamond"/>
        </w:rPr>
        <w:t>the latter</w:t>
      </w:r>
      <w:r w:rsidRPr="00993785">
        <w:rPr>
          <w:rFonts w:ascii="Garamond" w:eastAsia="Garamond" w:hAnsi="Garamond" w:cs="Garamond"/>
        </w:rPr>
        <w:t xml:space="preserve">. If we </w:t>
      </w:r>
      <w:r w:rsidR="00DD4AFE" w:rsidRPr="00993785">
        <w:rPr>
          <w:rFonts w:ascii="Garamond" w:eastAsia="Garamond" w:hAnsi="Garamond" w:cs="Garamond"/>
        </w:rPr>
        <w:t xml:space="preserve">follow a </w:t>
      </w:r>
      <w:r w:rsidR="006C00F5" w:rsidRPr="00993785">
        <w:rPr>
          <w:rFonts w:ascii="Garamond" w:eastAsia="Garamond" w:hAnsi="Garamond" w:cs="Garamond"/>
        </w:rPr>
        <w:t>withdrawal</w:t>
      </w:r>
      <w:r w:rsidR="00DD4AFE" w:rsidRPr="00993785">
        <w:rPr>
          <w:rFonts w:ascii="Garamond" w:eastAsia="Garamond" w:hAnsi="Garamond" w:cs="Garamond"/>
        </w:rPr>
        <w:t xml:space="preserve"> </w:t>
      </w:r>
      <w:r w:rsidR="00C92D6B">
        <w:rPr>
          <w:rFonts w:ascii="Garamond" w:eastAsia="Garamond" w:hAnsi="Garamond" w:cs="Garamond"/>
        </w:rPr>
        <w:t xml:space="preserve">of care </w:t>
      </w:r>
      <w:r w:rsidR="00DD4AFE" w:rsidRPr="00993785">
        <w:rPr>
          <w:rFonts w:ascii="Garamond" w:eastAsia="Garamond" w:hAnsi="Garamond" w:cs="Garamond"/>
        </w:rPr>
        <w:t>request made in an advance directive</w:t>
      </w:r>
      <w:r w:rsidRPr="00993785">
        <w:rPr>
          <w:rFonts w:ascii="Garamond" w:eastAsia="Garamond" w:hAnsi="Garamond" w:cs="Garamond"/>
        </w:rPr>
        <w:t xml:space="preserve"> for a patient who—unbeknownst to us—would have no longer wanted it if informed and competent, we let them die against their will. But if we </w:t>
      </w:r>
      <w:r w:rsidR="00DD4AFE" w:rsidRPr="00993785">
        <w:rPr>
          <w:rFonts w:ascii="Garamond" w:eastAsia="Garamond" w:hAnsi="Garamond" w:cs="Garamond"/>
        </w:rPr>
        <w:t>carry out a PAD request outlined in an advance directive</w:t>
      </w:r>
      <w:r w:rsidRPr="00993785">
        <w:rPr>
          <w:rFonts w:ascii="Garamond" w:eastAsia="Garamond" w:hAnsi="Garamond" w:cs="Garamond"/>
        </w:rPr>
        <w:t xml:space="preserve"> for a patient who—unbeknownst to us—would have no longer wanted it if informed and competent, we kill them against their will. If killing someone against their will is morally worse than letting someone die against their will, then </w:t>
      </w:r>
      <w:r w:rsidR="00DD4AFE" w:rsidRPr="00993785">
        <w:rPr>
          <w:rFonts w:ascii="Garamond" w:eastAsia="Garamond" w:hAnsi="Garamond" w:cs="Garamond"/>
        </w:rPr>
        <w:t>advance directive-requested PAD</w:t>
      </w:r>
      <w:r w:rsidRPr="00993785">
        <w:rPr>
          <w:rFonts w:ascii="Garamond" w:eastAsia="Garamond" w:hAnsi="Garamond" w:cs="Garamond"/>
        </w:rPr>
        <w:t xml:space="preserve"> </w:t>
      </w:r>
      <w:r w:rsidR="00DD4AFE" w:rsidRPr="00993785">
        <w:rPr>
          <w:rFonts w:ascii="Garamond" w:eastAsia="Garamond" w:hAnsi="Garamond" w:cs="Garamond"/>
        </w:rPr>
        <w:t>is morally riskier than advance</w:t>
      </w:r>
      <w:r w:rsidR="002C431D">
        <w:rPr>
          <w:rFonts w:ascii="Garamond" w:eastAsia="Garamond" w:hAnsi="Garamond" w:cs="Garamond"/>
        </w:rPr>
        <w:t xml:space="preserve"> </w:t>
      </w:r>
      <w:r w:rsidR="00DD4AFE" w:rsidRPr="00993785">
        <w:rPr>
          <w:rFonts w:ascii="Garamond" w:eastAsia="Garamond" w:hAnsi="Garamond" w:cs="Garamond"/>
        </w:rPr>
        <w:t>directive</w:t>
      </w:r>
      <w:r w:rsidR="002C431D">
        <w:rPr>
          <w:rFonts w:ascii="Garamond" w:eastAsia="Garamond" w:hAnsi="Garamond" w:cs="Garamond"/>
        </w:rPr>
        <w:t>-</w:t>
      </w:r>
      <w:r w:rsidR="00DD4AFE" w:rsidRPr="00993785">
        <w:rPr>
          <w:rFonts w:ascii="Garamond" w:eastAsia="Garamond" w:hAnsi="Garamond" w:cs="Garamond"/>
        </w:rPr>
        <w:t xml:space="preserve">requested </w:t>
      </w:r>
      <w:r w:rsidR="00EA3155" w:rsidRPr="00993785">
        <w:rPr>
          <w:rFonts w:ascii="Garamond" w:eastAsia="Garamond" w:hAnsi="Garamond" w:cs="Garamond"/>
        </w:rPr>
        <w:t>withdrawal of care</w:t>
      </w:r>
      <w:r w:rsidRPr="00993785">
        <w:rPr>
          <w:rFonts w:ascii="Garamond" w:eastAsia="Garamond" w:hAnsi="Garamond" w:cs="Garamond"/>
        </w:rPr>
        <w:t>. Even if we</w:t>
      </w:r>
      <w:r w:rsidR="002C431D">
        <w:rPr>
          <w:rFonts w:ascii="Garamond" w:eastAsia="Garamond" w:hAnsi="Garamond" w:cs="Garamond"/>
        </w:rPr>
        <w:t xml:space="preserve"> a</w:t>
      </w:r>
      <w:r w:rsidRPr="00993785">
        <w:rPr>
          <w:rFonts w:ascii="Garamond" w:eastAsia="Garamond" w:hAnsi="Garamond" w:cs="Garamond"/>
        </w:rPr>
        <w:t xml:space="preserve">re just as likely to act against the patient’s will in either case, doing so in the case of </w:t>
      </w:r>
      <w:r w:rsidR="00873B86"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would be worse than doing so in the case of </w:t>
      </w:r>
      <w:r w:rsidR="00873B86" w:rsidRPr="00993785">
        <w:rPr>
          <w:rFonts w:ascii="Garamond" w:eastAsia="Garamond" w:hAnsi="Garamond" w:cs="Garamond"/>
        </w:rPr>
        <w:t>advance directive-requested withdrawal</w:t>
      </w:r>
      <w:r w:rsidR="002C431D">
        <w:rPr>
          <w:rFonts w:ascii="Garamond" w:eastAsia="Garamond" w:hAnsi="Garamond" w:cs="Garamond"/>
        </w:rPr>
        <w:t xml:space="preserve"> of care</w:t>
      </w:r>
      <w:r w:rsidR="00873B86" w:rsidRPr="00993785">
        <w:rPr>
          <w:rFonts w:ascii="Garamond" w:eastAsia="Garamond" w:hAnsi="Garamond" w:cs="Garamond"/>
        </w:rPr>
        <w:t xml:space="preserve">. </w:t>
      </w:r>
    </w:p>
    <w:p w14:paraId="761BD8FA" w14:textId="1298F948"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The question, then, is: why is it so much worse to risk killing someone against their will than to risk letting them die against their will? One possibility concerns the difference between doing and allowing harm. Perhaps killing someone against their will </w:t>
      </w:r>
      <w:r w:rsidRPr="00993785">
        <w:rPr>
          <w:rFonts w:ascii="Garamond" w:eastAsia="Garamond" w:hAnsi="Garamond" w:cs="Garamond"/>
          <w:i/>
        </w:rPr>
        <w:t>does</w:t>
      </w:r>
      <w:r w:rsidRPr="00993785">
        <w:rPr>
          <w:rFonts w:ascii="Garamond" w:eastAsia="Garamond" w:hAnsi="Garamond" w:cs="Garamond"/>
        </w:rPr>
        <w:t xml:space="preserve"> </w:t>
      </w:r>
      <w:r w:rsidRPr="00993785">
        <w:rPr>
          <w:rFonts w:ascii="Garamond" w:eastAsia="Garamond" w:hAnsi="Garamond" w:cs="Garamond"/>
          <w:i/>
        </w:rPr>
        <w:t>harm</w:t>
      </w:r>
      <w:r w:rsidRPr="00993785">
        <w:rPr>
          <w:rFonts w:ascii="Garamond" w:eastAsia="Garamond" w:hAnsi="Garamond" w:cs="Garamond"/>
        </w:rPr>
        <w:t xml:space="preserve">, but killing in cases of </w:t>
      </w:r>
      <w:r w:rsidR="00E5713C"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 letting someone die against their will does not. We </w:t>
      </w:r>
      <w:r w:rsidR="009D6A1D" w:rsidRPr="00993785">
        <w:rPr>
          <w:rFonts w:ascii="Garamond" w:eastAsia="Garamond" w:hAnsi="Garamond" w:cs="Garamond"/>
        </w:rPr>
        <w:t>do</w:t>
      </w:r>
      <w:r w:rsidR="002C431D">
        <w:rPr>
          <w:rFonts w:ascii="Garamond" w:eastAsia="Garamond" w:hAnsi="Garamond" w:cs="Garamond"/>
        </w:rPr>
        <w:t xml:space="preserve"> </w:t>
      </w:r>
      <w:r w:rsidR="009D6A1D" w:rsidRPr="00993785">
        <w:rPr>
          <w:rFonts w:ascii="Garamond" w:eastAsia="Garamond" w:hAnsi="Garamond" w:cs="Garamond"/>
        </w:rPr>
        <w:t>n</w:t>
      </w:r>
      <w:r w:rsidR="002C431D">
        <w:rPr>
          <w:rFonts w:ascii="Garamond" w:eastAsia="Garamond" w:hAnsi="Garamond" w:cs="Garamond"/>
        </w:rPr>
        <w:t>o</w:t>
      </w:r>
      <w:r w:rsidR="009D6A1D" w:rsidRPr="00993785">
        <w:rPr>
          <w:rFonts w:ascii="Garamond" w:eastAsia="Garamond" w:hAnsi="Garamond" w:cs="Garamond"/>
        </w:rPr>
        <w:t>t</w:t>
      </w:r>
      <w:r w:rsidRPr="00993785">
        <w:rPr>
          <w:rFonts w:ascii="Garamond" w:eastAsia="Garamond" w:hAnsi="Garamond" w:cs="Garamond"/>
        </w:rPr>
        <w:t xml:space="preserve"> do harm in cases of </w:t>
      </w:r>
      <w:r w:rsidR="00E5713C"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because death as a result of </w:t>
      </w:r>
      <w:r w:rsidR="00E5713C" w:rsidRPr="00993785">
        <w:rPr>
          <w:rFonts w:ascii="Garamond" w:eastAsia="Garamond" w:hAnsi="Garamond" w:cs="Garamond"/>
        </w:rPr>
        <w:t>this request</w:t>
      </w:r>
      <w:r w:rsidRPr="00993785">
        <w:rPr>
          <w:rFonts w:ascii="Garamond" w:eastAsia="Garamond" w:hAnsi="Garamond" w:cs="Garamond"/>
        </w:rPr>
        <w:t xml:space="preserve"> is not a harm. We </w:t>
      </w:r>
      <w:r w:rsidR="009D6A1D" w:rsidRPr="00993785">
        <w:rPr>
          <w:rFonts w:ascii="Garamond" w:eastAsia="Garamond" w:hAnsi="Garamond" w:cs="Garamond"/>
        </w:rPr>
        <w:t>do</w:t>
      </w:r>
      <w:r w:rsidR="002C431D">
        <w:rPr>
          <w:rFonts w:ascii="Garamond" w:eastAsia="Garamond" w:hAnsi="Garamond" w:cs="Garamond"/>
        </w:rPr>
        <w:t xml:space="preserve"> </w:t>
      </w:r>
      <w:r w:rsidR="009D6A1D" w:rsidRPr="00993785">
        <w:rPr>
          <w:rFonts w:ascii="Garamond" w:eastAsia="Garamond" w:hAnsi="Garamond" w:cs="Garamond"/>
        </w:rPr>
        <w:t>n</w:t>
      </w:r>
      <w:r w:rsidR="002C431D">
        <w:rPr>
          <w:rFonts w:ascii="Garamond" w:eastAsia="Garamond" w:hAnsi="Garamond" w:cs="Garamond"/>
        </w:rPr>
        <w:t>o</w:t>
      </w:r>
      <w:r w:rsidR="009D6A1D" w:rsidRPr="00993785">
        <w:rPr>
          <w:rFonts w:ascii="Garamond" w:eastAsia="Garamond" w:hAnsi="Garamond" w:cs="Garamond"/>
        </w:rPr>
        <w:t>t</w:t>
      </w:r>
      <w:r w:rsidRPr="00993785">
        <w:rPr>
          <w:rFonts w:ascii="Garamond" w:eastAsia="Garamond" w:hAnsi="Garamond" w:cs="Garamond"/>
        </w:rPr>
        <w:t xml:space="preserve"> do harm </w:t>
      </w:r>
      <w:r w:rsidRPr="00993785">
        <w:rPr>
          <w:rFonts w:ascii="Garamond" w:eastAsia="Garamond" w:hAnsi="Garamond" w:cs="Garamond"/>
        </w:rPr>
        <w:lastRenderedPageBreak/>
        <w:t xml:space="preserve">when letting someone die against their will because, while their death is a harm, we do not stand in the right relation (causal or otherwise) to count as </w:t>
      </w:r>
      <w:r w:rsidR="000F3306" w:rsidRPr="00993785">
        <w:rPr>
          <w:rFonts w:ascii="Garamond" w:eastAsia="Garamond" w:hAnsi="Garamond" w:cs="Garamond"/>
        </w:rPr>
        <w:t>‘</w:t>
      </w:r>
      <w:r w:rsidRPr="00993785">
        <w:rPr>
          <w:rFonts w:ascii="Garamond" w:eastAsia="Garamond" w:hAnsi="Garamond" w:cs="Garamond"/>
        </w:rPr>
        <w:t>doing</w:t>
      </w:r>
      <w:r w:rsidR="000F3306" w:rsidRPr="00993785">
        <w:rPr>
          <w:rFonts w:ascii="Garamond" w:eastAsia="Garamond" w:hAnsi="Garamond" w:cs="Garamond"/>
        </w:rPr>
        <w:t>’</w:t>
      </w:r>
      <w:r w:rsidRPr="00993785">
        <w:rPr>
          <w:rFonts w:ascii="Garamond" w:eastAsia="Garamond" w:hAnsi="Garamond" w:cs="Garamond"/>
        </w:rPr>
        <w:t xml:space="preserve"> it. If doing harm is worse than allowing harm, then this could explain why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is impermissible even if </w:t>
      </w:r>
      <w:r w:rsidR="006C00F5"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 </w:t>
      </w:r>
      <w:r w:rsidR="006C00F5" w:rsidRPr="00993785">
        <w:rPr>
          <w:rFonts w:ascii="Garamond" w:eastAsia="Garamond" w:hAnsi="Garamond" w:cs="Garamond"/>
        </w:rPr>
        <w:t>advance directive-requested withdrawal</w:t>
      </w:r>
      <w:r w:rsidRPr="00993785">
        <w:rPr>
          <w:rFonts w:ascii="Garamond" w:eastAsia="Garamond" w:hAnsi="Garamond" w:cs="Garamond"/>
        </w:rPr>
        <w:t xml:space="preserve"> </w:t>
      </w:r>
      <w:r w:rsidR="002C431D">
        <w:rPr>
          <w:rFonts w:ascii="Garamond" w:eastAsia="Garamond" w:hAnsi="Garamond" w:cs="Garamond"/>
        </w:rPr>
        <w:t xml:space="preserve">of care </w:t>
      </w:r>
      <w:r w:rsidRPr="00993785">
        <w:rPr>
          <w:rFonts w:ascii="Garamond" w:eastAsia="Garamond" w:hAnsi="Garamond" w:cs="Garamond"/>
        </w:rPr>
        <w:t>are permissible.</w:t>
      </w:r>
    </w:p>
    <w:p w14:paraId="255FF59E" w14:textId="588C8C14"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Or perhaps we could distinguish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by saying that killing someone against their will violates their right not to be killed, but killing in cases of </w:t>
      </w:r>
      <w:r w:rsidR="006C00F5"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 letting people die against their will do not.</w:t>
      </w:r>
      <w:r w:rsidRPr="00993785">
        <w:rPr>
          <w:rStyle w:val="FootnoteReference"/>
          <w:rFonts w:ascii="Garamond" w:eastAsia="Garamond" w:hAnsi="Garamond" w:cs="Garamond"/>
        </w:rPr>
        <w:footnoteReference w:id="10"/>
      </w:r>
      <w:r w:rsidRPr="00993785">
        <w:rPr>
          <w:rFonts w:ascii="Garamond" w:eastAsia="Garamond" w:hAnsi="Garamond" w:cs="Garamond"/>
        </w:rPr>
        <w:t xml:space="preserve"> If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risks violating the patient’s right not to be killed but </w:t>
      </w:r>
      <w:r w:rsidR="006C00F5" w:rsidRPr="00993785">
        <w:rPr>
          <w:rFonts w:ascii="Garamond" w:eastAsia="Garamond" w:hAnsi="Garamond" w:cs="Garamond"/>
        </w:rPr>
        <w:t>the other two practices</w:t>
      </w:r>
      <w:r w:rsidRPr="00993785">
        <w:rPr>
          <w:rFonts w:ascii="Garamond" w:eastAsia="Garamond" w:hAnsi="Garamond" w:cs="Garamond"/>
        </w:rPr>
        <w:t xml:space="preserve"> do not, this could explain why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might be</w:t>
      </w:r>
      <w:r w:rsidR="0034454D">
        <w:rPr>
          <w:rFonts w:ascii="Garamond" w:eastAsia="Garamond" w:hAnsi="Garamond" w:cs="Garamond"/>
        </w:rPr>
        <w:t xml:space="preserve"> impermissible even if the other two practices are not. </w:t>
      </w:r>
      <w:r w:rsidR="001A26FE">
        <w:rPr>
          <w:rFonts w:ascii="Garamond" w:eastAsia="Garamond" w:hAnsi="Garamond" w:cs="Garamond"/>
        </w:rPr>
        <w:t xml:space="preserve"> </w:t>
      </w:r>
    </w:p>
    <w:p w14:paraId="6D5E7F8B" w14:textId="5368CE87"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We </w:t>
      </w:r>
      <w:r w:rsidR="006A22D1" w:rsidRPr="00993785">
        <w:rPr>
          <w:rFonts w:ascii="Garamond" w:eastAsia="Garamond" w:hAnsi="Garamond" w:cs="Garamond"/>
        </w:rPr>
        <w:t xml:space="preserve">think </w:t>
      </w:r>
      <w:r w:rsidRPr="00993785">
        <w:rPr>
          <w:rFonts w:ascii="Garamond" w:eastAsia="Garamond" w:hAnsi="Garamond" w:cs="Garamond"/>
        </w:rPr>
        <w:t xml:space="preserve">that these are the two most plausible explanations of why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might carry higher risks than </w:t>
      </w:r>
      <w:r w:rsidR="006C00F5"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w:t>
      </w:r>
      <w:r w:rsidR="006C00F5" w:rsidRPr="00993785">
        <w:rPr>
          <w:rFonts w:ascii="Garamond" w:eastAsia="Garamond" w:hAnsi="Garamond" w:cs="Garamond"/>
        </w:rPr>
        <w:t xml:space="preserve"> advance directive-requested w</w:t>
      </w:r>
      <w:r w:rsidRPr="00993785">
        <w:rPr>
          <w:rFonts w:ascii="Garamond" w:eastAsia="Garamond" w:hAnsi="Garamond" w:cs="Garamond"/>
        </w:rPr>
        <w:t>ithdrawal</w:t>
      </w:r>
      <w:r w:rsidR="007D1F2A">
        <w:rPr>
          <w:rFonts w:ascii="Garamond" w:eastAsia="Garamond" w:hAnsi="Garamond" w:cs="Garamond"/>
        </w:rPr>
        <w:t xml:space="preserve"> of care</w:t>
      </w:r>
      <w:r w:rsidRPr="00993785">
        <w:rPr>
          <w:rFonts w:ascii="Garamond" w:eastAsia="Garamond" w:hAnsi="Garamond" w:cs="Garamond"/>
        </w:rPr>
        <w:t>. But</w:t>
      </w:r>
      <w:r w:rsidR="006A22D1" w:rsidRPr="00993785">
        <w:rPr>
          <w:rFonts w:ascii="Garamond" w:eastAsia="Garamond" w:hAnsi="Garamond" w:cs="Garamond"/>
        </w:rPr>
        <w:t>, as we will argue below,</w:t>
      </w:r>
      <w:r w:rsidRPr="00993785">
        <w:rPr>
          <w:rFonts w:ascii="Garamond" w:eastAsia="Garamond" w:hAnsi="Garamond" w:cs="Garamond"/>
        </w:rPr>
        <w:t xml:space="preserve"> both </w:t>
      </w:r>
      <w:r w:rsidR="006A22D1" w:rsidRPr="00993785">
        <w:rPr>
          <w:rFonts w:ascii="Garamond" w:eastAsia="Garamond" w:hAnsi="Garamond" w:cs="Garamond"/>
        </w:rPr>
        <w:t xml:space="preserve">ultimately </w:t>
      </w:r>
      <w:r w:rsidRPr="00993785">
        <w:rPr>
          <w:rFonts w:ascii="Garamond" w:eastAsia="Garamond" w:hAnsi="Garamond" w:cs="Garamond"/>
        </w:rPr>
        <w:t xml:space="preserve">fail to undermine the permissibility of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w:t>
      </w:r>
    </w:p>
    <w:p w14:paraId="5D4FECD5" w14:textId="393418B4"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Consider first the risk that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might do harm. We agree that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carries </w:t>
      </w:r>
      <w:r w:rsidR="008C606B" w:rsidRPr="00993785">
        <w:rPr>
          <w:rFonts w:ascii="Garamond" w:eastAsia="Garamond" w:hAnsi="Garamond" w:cs="Garamond"/>
        </w:rPr>
        <w:t>this</w:t>
      </w:r>
      <w:r w:rsidRPr="00993785">
        <w:rPr>
          <w:rFonts w:ascii="Garamond" w:eastAsia="Garamond" w:hAnsi="Garamond" w:cs="Garamond"/>
        </w:rPr>
        <w:t xml:space="preserve"> risk. We even grant that doing harm might be worse than allowing harm. But we deny that a doctor’s reason to avoid doing harm </w:t>
      </w:r>
      <w:r w:rsidR="00A977E3" w:rsidRPr="00993785">
        <w:rPr>
          <w:rFonts w:ascii="Garamond" w:eastAsia="Garamond" w:hAnsi="Garamond" w:cs="Garamond"/>
        </w:rPr>
        <w:t>necessarily</w:t>
      </w:r>
      <w:r w:rsidRPr="00993785">
        <w:rPr>
          <w:rFonts w:ascii="Garamond" w:eastAsia="Garamond" w:hAnsi="Garamond" w:cs="Garamond"/>
        </w:rPr>
        <w:t xml:space="preserve"> outweigh</w:t>
      </w:r>
      <w:r w:rsidR="00A977E3" w:rsidRPr="00993785">
        <w:rPr>
          <w:rFonts w:ascii="Garamond" w:eastAsia="Garamond" w:hAnsi="Garamond" w:cs="Garamond"/>
        </w:rPr>
        <w:t>s</w:t>
      </w:r>
      <w:r w:rsidRPr="00993785">
        <w:rPr>
          <w:rFonts w:ascii="Garamond" w:eastAsia="Garamond" w:hAnsi="Garamond" w:cs="Garamond"/>
        </w:rPr>
        <w:t xml:space="preserve"> their reason to </w:t>
      </w:r>
      <w:r w:rsidR="006C00F5" w:rsidRPr="00993785">
        <w:rPr>
          <w:rFonts w:ascii="Garamond" w:eastAsia="Garamond" w:hAnsi="Garamond" w:cs="Garamond"/>
        </w:rPr>
        <w:t>honor PAD requests made in advance directives</w:t>
      </w:r>
      <w:r w:rsidRPr="00993785">
        <w:rPr>
          <w:rFonts w:ascii="Garamond" w:eastAsia="Garamond" w:hAnsi="Garamond" w:cs="Garamond"/>
        </w:rPr>
        <w:t xml:space="preserve">. </w:t>
      </w:r>
    </w:p>
    <w:p w14:paraId="5E3D929A" w14:textId="16802640" w:rsidR="00F72E1A" w:rsidRPr="00993785" w:rsidRDefault="003F64F8" w:rsidP="00EA3155">
      <w:pPr>
        <w:spacing w:line="480" w:lineRule="auto"/>
        <w:ind w:firstLine="720"/>
        <w:jc w:val="both"/>
        <w:rPr>
          <w:rFonts w:ascii="Garamond" w:eastAsia="Garamond" w:hAnsi="Garamond" w:cs="Garamond"/>
        </w:rPr>
      </w:pPr>
      <w:r w:rsidRPr="00993785">
        <w:rPr>
          <w:rFonts w:ascii="Garamond" w:eastAsia="Garamond" w:hAnsi="Garamond" w:cs="Garamond"/>
        </w:rPr>
        <w:t>To see why we deny this, r</w:t>
      </w:r>
      <w:r w:rsidR="00F72E1A" w:rsidRPr="00993785">
        <w:rPr>
          <w:rFonts w:ascii="Garamond" w:eastAsia="Garamond" w:hAnsi="Garamond" w:cs="Garamond"/>
        </w:rPr>
        <w:t xml:space="preserve">ecall that we are assuming </w:t>
      </w:r>
      <w:r w:rsidR="00A977E3" w:rsidRPr="00993785">
        <w:rPr>
          <w:rFonts w:ascii="Garamond" w:eastAsia="Garamond" w:hAnsi="Garamond" w:cs="Garamond"/>
        </w:rPr>
        <w:t xml:space="preserve">that terminally ill patients may permissibly request </w:t>
      </w:r>
      <w:r w:rsidR="006C00F5" w:rsidRPr="00993785">
        <w:rPr>
          <w:rFonts w:ascii="Garamond" w:eastAsia="Garamond" w:hAnsi="Garamond" w:cs="Garamond"/>
        </w:rPr>
        <w:t>medical aid in dying</w:t>
      </w:r>
      <w:r w:rsidR="00F72E1A" w:rsidRPr="00993785">
        <w:rPr>
          <w:rFonts w:ascii="Garamond" w:eastAsia="Garamond" w:hAnsi="Garamond" w:cs="Garamond"/>
        </w:rPr>
        <w:t xml:space="preserve">. </w:t>
      </w:r>
      <w:r w:rsidR="00182EED" w:rsidRPr="00993785">
        <w:rPr>
          <w:rFonts w:ascii="Garamond" w:eastAsia="Garamond" w:hAnsi="Garamond" w:cs="Garamond"/>
        </w:rPr>
        <w:t>In these cases,</w:t>
      </w:r>
      <w:r w:rsidR="00F72E1A" w:rsidRPr="00993785">
        <w:rPr>
          <w:rFonts w:ascii="Garamond" w:eastAsia="Garamond" w:hAnsi="Garamond" w:cs="Garamond"/>
        </w:rPr>
        <w:t xml:space="preserve"> there is always some risk that </w:t>
      </w:r>
      <w:r w:rsidR="000F3306" w:rsidRPr="00993785">
        <w:rPr>
          <w:rFonts w:ascii="Garamond" w:eastAsia="Garamond" w:hAnsi="Garamond" w:cs="Garamond"/>
        </w:rPr>
        <w:t xml:space="preserve">patients </w:t>
      </w:r>
      <w:r w:rsidR="00F72E1A" w:rsidRPr="00993785">
        <w:rPr>
          <w:rFonts w:ascii="Garamond" w:eastAsia="Garamond" w:hAnsi="Garamond" w:cs="Garamond"/>
        </w:rPr>
        <w:t>may make the request without genuinely wishing to die.</w:t>
      </w:r>
      <w:r w:rsidR="00182EED" w:rsidRPr="00993785">
        <w:rPr>
          <w:rStyle w:val="FootnoteReference"/>
          <w:rFonts w:ascii="Garamond" w:eastAsia="Garamond" w:hAnsi="Garamond" w:cs="Garamond"/>
        </w:rPr>
        <w:footnoteReference w:id="11"/>
      </w:r>
      <w:r w:rsidR="00F72E1A" w:rsidRPr="00993785">
        <w:rPr>
          <w:rFonts w:ascii="Garamond" w:eastAsia="Garamond" w:hAnsi="Garamond" w:cs="Garamond"/>
        </w:rPr>
        <w:t xml:space="preserve"> They might, for instance, </w:t>
      </w:r>
      <w:r w:rsidR="006C00F5" w:rsidRPr="00993785">
        <w:rPr>
          <w:rFonts w:ascii="Garamond" w:eastAsia="Garamond" w:hAnsi="Garamond" w:cs="Garamond"/>
        </w:rPr>
        <w:t>wish to die</w:t>
      </w:r>
      <w:r w:rsidR="00F72E1A" w:rsidRPr="00993785">
        <w:rPr>
          <w:rFonts w:ascii="Garamond" w:eastAsia="Garamond" w:hAnsi="Garamond" w:cs="Garamond"/>
        </w:rPr>
        <w:t xml:space="preserve"> merely because they fear </w:t>
      </w:r>
      <w:r w:rsidRPr="00993785">
        <w:rPr>
          <w:rFonts w:ascii="Garamond" w:eastAsia="Garamond" w:hAnsi="Garamond" w:cs="Garamond"/>
        </w:rPr>
        <w:t>burdening</w:t>
      </w:r>
      <w:r w:rsidR="00F72E1A" w:rsidRPr="00993785">
        <w:rPr>
          <w:rFonts w:ascii="Garamond" w:eastAsia="Garamond" w:hAnsi="Garamond" w:cs="Garamond"/>
        </w:rPr>
        <w:t xml:space="preserve"> others. In such cases, </w:t>
      </w:r>
      <w:r w:rsidR="006C00F5" w:rsidRPr="00993785">
        <w:rPr>
          <w:rFonts w:ascii="Garamond" w:eastAsia="Garamond" w:hAnsi="Garamond" w:cs="Garamond"/>
        </w:rPr>
        <w:t>patient-requested</w:t>
      </w:r>
      <w:r w:rsidR="00F72E1A" w:rsidRPr="00993785">
        <w:rPr>
          <w:rFonts w:ascii="Garamond" w:eastAsia="Garamond" w:hAnsi="Garamond" w:cs="Garamond"/>
        </w:rPr>
        <w:t xml:space="preserve"> </w:t>
      </w:r>
      <w:r w:rsidR="00843CB9" w:rsidRPr="00993785">
        <w:rPr>
          <w:rFonts w:ascii="Garamond" w:eastAsia="Garamond" w:hAnsi="Garamond" w:cs="Garamond"/>
        </w:rPr>
        <w:t>PAD</w:t>
      </w:r>
      <w:r w:rsidR="00F72E1A" w:rsidRPr="00993785">
        <w:rPr>
          <w:rFonts w:ascii="Garamond" w:eastAsia="Garamond" w:hAnsi="Garamond" w:cs="Garamond"/>
        </w:rPr>
        <w:t xml:space="preserve"> does harm. Nevertheless, those who </w:t>
      </w:r>
      <w:r w:rsidR="00F72E1A" w:rsidRPr="00993785">
        <w:rPr>
          <w:rFonts w:ascii="Garamond" w:eastAsia="Garamond" w:hAnsi="Garamond" w:cs="Garamond"/>
        </w:rPr>
        <w:lastRenderedPageBreak/>
        <w:t xml:space="preserve">grant the moral and legal permissibility of </w:t>
      </w:r>
      <w:r w:rsidR="006C00F5" w:rsidRPr="00993785">
        <w:rPr>
          <w:rFonts w:ascii="Garamond" w:eastAsia="Garamond" w:hAnsi="Garamond" w:cs="Garamond"/>
        </w:rPr>
        <w:t>patient-requested</w:t>
      </w:r>
      <w:r w:rsidR="00F72E1A" w:rsidRPr="00993785">
        <w:rPr>
          <w:rFonts w:ascii="Garamond" w:eastAsia="Garamond" w:hAnsi="Garamond" w:cs="Garamond"/>
        </w:rPr>
        <w:t xml:space="preserve"> </w:t>
      </w:r>
      <w:r w:rsidR="00843CB9" w:rsidRPr="00993785">
        <w:rPr>
          <w:rFonts w:ascii="Garamond" w:eastAsia="Garamond" w:hAnsi="Garamond" w:cs="Garamond"/>
        </w:rPr>
        <w:t>PAD</w:t>
      </w:r>
      <w:r w:rsidR="00F72E1A" w:rsidRPr="00993785">
        <w:rPr>
          <w:rFonts w:ascii="Garamond" w:eastAsia="Garamond" w:hAnsi="Garamond" w:cs="Garamond"/>
        </w:rPr>
        <w:t xml:space="preserve"> think that this risk of doing harm is typically outweighed by the likely benefits of </w:t>
      </w:r>
      <w:r w:rsidR="00204C6A" w:rsidRPr="00993785">
        <w:rPr>
          <w:rFonts w:ascii="Garamond" w:eastAsia="Garamond" w:hAnsi="Garamond" w:cs="Garamond"/>
        </w:rPr>
        <w:t>the practice</w:t>
      </w:r>
      <w:r w:rsidR="00F72E1A" w:rsidRPr="00993785">
        <w:rPr>
          <w:rFonts w:ascii="Garamond" w:eastAsia="Garamond" w:hAnsi="Garamond" w:cs="Garamond"/>
        </w:rPr>
        <w:t xml:space="preserve">. </w:t>
      </w:r>
    </w:p>
    <w:p w14:paraId="7B2DF502" w14:textId="119FF5C8"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In the case of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the risk of doing harm may be higher than in the case of </w:t>
      </w:r>
      <w:r w:rsidR="006C00F5"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But </w:t>
      </w:r>
      <w:r w:rsidR="00FB7315" w:rsidRPr="00993785">
        <w:rPr>
          <w:rFonts w:ascii="Garamond" w:eastAsia="Garamond" w:hAnsi="Garamond" w:cs="Garamond"/>
        </w:rPr>
        <w:t>we think that</w:t>
      </w:r>
      <w:r w:rsidRPr="00993785">
        <w:rPr>
          <w:rFonts w:ascii="Garamond" w:eastAsia="Garamond" w:hAnsi="Garamond" w:cs="Garamond"/>
        </w:rPr>
        <w:t xml:space="preserve"> the benefits</w:t>
      </w:r>
      <w:r w:rsidR="00FB7315" w:rsidRPr="00993785">
        <w:rPr>
          <w:rFonts w:ascii="Garamond" w:eastAsia="Garamond" w:hAnsi="Garamond" w:cs="Garamond"/>
        </w:rPr>
        <w:t xml:space="preserve"> are also higher</w:t>
      </w:r>
      <w:r w:rsidRPr="00993785">
        <w:rPr>
          <w:rFonts w:ascii="Garamond" w:eastAsia="Garamond" w:hAnsi="Garamond" w:cs="Garamond"/>
        </w:rPr>
        <w:t xml:space="preserve">. Specifically,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has the potential to give patients like Audrey Parker additional months of life. We see no reason to think the risks must in</w:t>
      </w:r>
      <w:r w:rsidR="007D1F2A">
        <w:rPr>
          <w:rFonts w:ascii="Garamond" w:eastAsia="Garamond" w:hAnsi="Garamond" w:cs="Garamond"/>
        </w:rPr>
        <w:t xml:space="preserve"> </w:t>
      </w:r>
      <w:r w:rsidRPr="00993785">
        <w:rPr>
          <w:rFonts w:ascii="Garamond" w:eastAsia="Garamond" w:hAnsi="Garamond" w:cs="Garamond"/>
        </w:rPr>
        <w:t xml:space="preserve">principle increase at a disproportionately higher rate than the benefits. Whether they do in practice is another matter that we consider in </w:t>
      </w:r>
      <w:r w:rsidRPr="00993785">
        <w:rPr>
          <w:rFonts w:ascii="Garamond" w:eastAsia="Garamond" w:hAnsi="Garamond" w:cs="Garamond"/>
          <w:b/>
        </w:rPr>
        <w:t>Section 4.1</w:t>
      </w:r>
      <w:r w:rsidRPr="00993785">
        <w:rPr>
          <w:rFonts w:ascii="Garamond" w:eastAsia="Garamond" w:hAnsi="Garamond" w:cs="Garamond"/>
        </w:rPr>
        <w:t xml:space="preserve">. In the meantime, this observation is enough to show that even if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carries higher risk of doing harm, this does not </w:t>
      </w:r>
      <w:r w:rsidR="0034454D">
        <w:rPr>
          <w:rFonts w:ascii="Garamond" w:eastAsia="Garamond" w:hAnsi="Garamond" w:cs="Garamond"/>
        </w:rPr>
        <w:t>immediately</w:t>
      </w:r>
      <w:r w:rsidR="00FA5798">
        <w:rPr>
          <w:rFonts w:ascii="Garamond" w:eastAsia="Garamond" w:hAnsi="Garamond" w:cs="Garamond"/>
        </w:rPr>
        <w:t xml:space="preserve"> render it impermissible</w:t>
      </w:r>
      <w:r w:rsidRPr="00993785">
        <w:rPr>
          <w:rFonts w:ascii="Garamond" w:eastAsia="Garamond" w:hAnsi="Garamond" w:cs="Garamond"/>
        </w:rPr>
        <w:t>.</w:t>
      </w:r>
    </w:p>
    <w:p w14:paraId="2D1D507A" w14:textId="6DDB503A" w:rsidR="00F72E1A" w:rsidRPr="00993785" w:rsidRDefault="00F72E1A" w:rsidP="003D779F">
      <w:pPr>
        <w:spacing w:line="480" w:lineRule="auto"/>
        <w:ind w:firstLine="720"/>
        <w:jc w:val="both"/>
        <w:rPr>
          <w:rFonts w:ascii="Garamond" w:eastAsia="Garamond" w:hAnsi="Garamond" w:cs="Garamond"/>
        </w:rPr>
      </w:pPr>
      <w:r w:rsidRPr="00993785">
        <w:rPr>
          <w:rFonts w:ascii="Garamond" w:eastAsia="Garamond" w:hAnsi="Garamond" w:cs="Garamond"/>
        </w:rPr>
        <w:t>Now</w:t>
      </w:r>
      <w:r w:rsidR="00FA5798">
        <w:rPr>
          <w:rFonts w:ascii="Garamond" w:eastAsia="Garamond" w:hAnsi="Garamond" w:cs="Garamond"/>
        </w:rPr>
        <w:t xml:space="preserve"> </w:t>
      </w:r>
      <w:r w:rsidRPr="00993785">
        <w:rPr>
          <w:rFonts w:ascii="Garamond" w:eastAsia="Garamond" w:hAnsi="Garamond" w:cs="Garamond"/>
        </w:rPr>
        <w:t xml:space="preserve">consider the claim that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might violate a patient’s right</w:t>
      </w:r>
      <w:r w:rsidR="00C64B1F" w:rsidRPr="00993785">
        <w:rPr>
          <w:rFonts w:ascii="Garamond" w:eastAsia="Garamond" w:hAnsi="Garamond" w:cs="Garamond"/>
        </w:rPr>
        <w:t xml:space="preserve"> </w:t>
      </w:r>
      <w:r w:rsidRPr="00993785">
        <w:rPr>
          <w:rFonts w:ascii="Garamond" w:eastAsia="Garamond" w:hAnsi="Garamond" w:cs="Garamond"/>
        </w:rPr>
        <w:t xml:space="preserve">not to be killed. We agree that </w:t>
      </w:r>
      <w:r w:rsidR="006C00F5"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increases the risk of killing the patient against their will. But we deny that it violates the patient’s right not to be killed. To see why, consider a patient who agrees to receive general anesthesia during surgery. </w:t>
      </w:r>
      <w:r w:rsidR="00A977E3" w:rsidRPr="00993785">
        <w:rPr>
          <w:rFonts w:ascii="Garamond" w:eastAsia="Garamond" w:hAnsi="Garamond" w:cs="Garamond"/>
        </w:rPr>
        <w:t xml:space="preserve">As part of the consent process, </w:t>
      </w:r>
      <w:r w:rsidR="00162FB1" w:rsidRPr="00993785">
        <w:rPr>
          <w:rFonts w:ascii="Garamond" w:eastAsia="Garamond" w:hAnsi="Garamond" w:cs="Garamond"/>
        </w:rPr>
        <w:t>they are informed that approximately 1 in 19,600 patients will wake up during anesthesia temporarily paralyzed and unable to communicate.</w:t>
      </w:r>
      <w:r w:rsidR="00162FB1" w:rsidRPr="00993785">
        <w:rPr>
          <w:rStyle w:val="FootnoteReference"/>
          <w:rFonts w:ascii="Garamond" w:eastAsia="Garamond" w:hAnsi="Garamond" w:cs="Garamond"/>
        </w:rPr>
        <w:footnoteReference w:id="12"/>
      </w:r>
      <w:r w:rsidR="00162FB1" w:rsidRPr="00993785">
        <w:rPr>
          <w:rFonts w:ascii="Garamond" w:eastAsia="Garamond" w:hAnsi="Garamond" w:cs="Garamond"/>
        </w:rPr>
        <w:t xml:space="preserve"> </w:t>
      </w:r>
      <w:r w:rsidR="00A977E3" w:rsidRPr="00993785">
        <w:rPr>
          <w:rFonts w:ascii="Garamond" w:eastAsia="Garamond" w:hAnsi="Garamond" w:cs="Garamond"/>
        </w:rPr>
        <w:t>They learn</w:t>
      </w:r>
      <w:r w:rsidRPr="00993785">
        <w:rPr>
          <w:rFonts w:ascii="Garamond" w:eastAsia="Garamond" w:hAnsi="Garamond" w:cs="Garamond"/>
        </w:rPr>
        <w:t xml:space="preserve"> </w:t>
      </w:r>
      <w:r w:rsidR="007D1F2A">
        <w:rPr>
          <w:rFonts w:ascii="Garamond" w:eastAsia="Garamond" w:hAnsi="Garamond" w:cs="Garamond"/>
        </w:rPr>
        <w:t xml:space="preserve">that </w:t>
      </w:r>
      <w:r w:rsidRPr="00993785">
        <w:rPr>
          <w:rFonts w:ascii="Garamond" w:eastAsia="Garamond" w:hAnsi="Garamond" w:cs="Garamond"/>
        </w:rPr>
        <w:t xml:space="preserve">half of these patients suffer extreme anxiety as they witness themselves going under the knife, profoundly wishing they could revoke their consent to the surgery. Still, the patient gives their consent to the procedure. </w:t>
      </w:r>
      <w:r w:rsidR="001B391D" w:rsidRPr="00993785">
        <w:rPr>
          <w:rFonts w:ascii="Garamond" w:eastAsia="Garamond" w:hAnsi="Garamond" w:cs="Garamond"/>
        </w:rPr>
        <w:t>Unfortunately</w:t>
      </w:r>
      <w:r w:rsidRPr="00993785">
        <w:rPr>
          <w:rFonts w:ascii="Garamond" w:eastAsia="Garamond" w:hAnsi="Garamond" w:cs="Garamond"/>
        </w:rPr>
        <w:t>, the patient wakes up just as the surgeon makes the first incision</w:t>
      </w:r>
      <w:r w:rsidR="00182EED" w:rsidRPr="00993785">
        <w:rPr>
          <w:rFonts w:ascii="Garamond" w:eastAsia="Garamond" w:hAnsi="Garamond" w:cs="Garamond"/>
        </w:rPr>
        <w:t>, and</w:t>
      </w:r>
      <w:r w:rsidRPr="00993785">
        <w:rPr>
          <w:rFonts w:ascii="Garamond" w:eastAsia="Garamond" w:hAnsi="Garamond" w:cs="Garamond"/>
        </w:rPr>
        <w:t xml:space="preserve"> immediately regrets having given their</w:t>
      </w:r>
      <w:r w:rsidR="00182EED" w:rsidRPr="00993785">
        <w:rPr>
          <w:rFonts w:ascii="Garamond" w:eastAsia="Garamond" w:hAnsi="Garamond" w:cs="Garamond"/>
        </w:rPr>
        <w:t xml:space="preserve"> consent</w:t>
      </w:r>
      <w:r w:rsidRPr="00993785">
        <w:rPr>
          <w:rFonts w:ascii="Garamond" w:eastAsia="Garamond" w:hAnsi="Garamond" w:cs="Garamond"/>
        </w:rPr>
        <w:t xml:space="preserve">. As much as they wish they could revoke their consent, their paralysis prevents them from communicating. </w:t>
      </w:r>
      <w:r w:rsidR="003C532C" w:rsidRPr="00993785">
        <w:rPr>
          <w:rFonts w:ascii="Garamond" w:eastAsia="Garamond" w:hAnsi="Garamond" w:cs="Garamond"/>
        </w:rPr>
        <w:t>And so</w:t>
      </w:r>
      <w:r w:rsidRPr="00993785">
        <w:rPr>
          <w:rFonts w:ascii="Garamond" w:eastAsia="Garamond" w:hAnsi="Garamond" w:cs="Garamond"/>
        </w:rPr>
        <w:t xml:space="preserve">, the </w:t>
      </w:r>
      <w:r w:rsidR="00754AD9" w:rsidRPr="00993785">
        <w:rPr>
          <w:rFonts w:ascii="Garamond" w:eastAsia="Garamond" w:hAnsi="Garamond" w:cs="Garamond"/>
        </w:rPr>
        <w:t>surgeon</w:t>
      </w:r>
      <w:r w:rsidRPr="00993785">
        <w:rPr>
          <w:rFonts w:ascii="Garamond" w:eastAsia="Garamond" w:hAnsi="Garamond" w:cs="Garamond"/>
        </w:rPr>
        <w:t xml:space="preserve"> continues with the surgery. </w:t>
      </w:r>
      <w:r w:rsidR="003C532C" w:rsidRPr="00993785">
        <w:rPr>
          <w:rFonts w:ascii="Garamond" w:eastAsia="Garamond" w:hAnsi="Garamond" w:cs="Garamond"/>
        </w:rPr>
        <w:t>A</w:t>
      </w:r>
      <w:r w:rsidRPr="00993785">
        <w:rPr>
          <w:rFonts w:ascii="Garamond" w:eastAsia="Garamond" w:hAnsi="Garamond" w:cs="Garamond"/>
        </w:rPr>
        <w:t xml:space="preserve">s long as </w:t>
      </w:r>
      <w:r w:rsidR="003C532C" w:rsidRPr="00993785">
        <w:rPr>
          <w:rFonts w:ascii="Garamond" w:eastAsia="Garamond" w:hAnsi="Garamond" w:cs="Garamond"/>
        </w:rPr>
        <w:t xml:space="preserve">the </w:t>
      </w:r>
      <w:r w:rsidR="00754AD9" w:rsidRPr="00993785">
        <w:rPr>
          <w:rFonts w:ascii="Garamond" w:eastAsia="Garamond" w:hAnsi="Garamond" w:cs="Garamond"/>
        </w:rPr>
        <w:t>surgeon</w:t>
      </w:r>
      <w:r w:rsidR="003C532C" w:rsidRPr="00993785">
        <w:rPr>
          <w:rFonts w:ascii="Garamond" w:eastAsia="Garamond" w:hAnsi="Garamond" w:cs="Garamond"/>
        </w:rPr>
        <w:t xml:space="preserve"> has </w:t>
      </w:r>
      <w:r w:rsidRPr="00993785">
        <w:rPr>
          <w:rFonts w:ascii="Garamond" w:eastAsia="Garamond" w:hAnsi="Garamond" w:cs="Garamond"/>
        </w:rPr>
        <w:t xml:space="preserve">no reason to believe </w:t>
      </w:r>
      <w:r w:rsidR="007D1F2A">
        <w:rPr>
          <w:rFonts w:ascii="Garamond" w:eastAsia="Garamond" w:hAnsi="Garamond" w:cs="Garamond"/>
        </w:rPr>
        <w:t xml:space="preserve">that </w:t>
      </w:r>
      <w:r w:rsidRPr="00993785">
        <w:rPr>
          <w:rFonts w:ascii="Garamond" w:eastAsia="Garamond" w:hAnsi="Garamond" w:cs="Garamond"/>
        </w:rPr>
        <w:t>the patient is in distress, they do not violate the patient’s right to bodily autonomy</w:t>
      </w:r>
      <w:r w:rsidR="003D779F">
        <w:rPr>
          <w:rFonts w:ascii="Garamond" w:eastAsia="Garamond" w:hAnsi="Garamond" w:cs="Garamond"/>
        </w:rPr>
        <w:t>—</w:t>
      </w:r>
      <w:r w:rsidR="00FA5798">
        <w:rPr>
          <w:rFonts w:ascii="Garamond" w:eastAsia="Garamond" w:hAnsi="Garamond" w:cs="Garamond"/>
        </w:rPr>
        <w:t>the patient’s consent remains in effect</w:t>
      </w:r>
      <w:r w:rsidRPr="00993785">
        <w:rPr>
          <w:rFonts w:ascii="Garamond" w:eastAsia="Garamond" w:hAnsi="Garamond" w:cs="Garamond"/>
        </w:rPr>
        <w:t>. Despite the patient’s wish to revoke their consent, their earlier waiving of their right remains in effect.</w:t>
      </w:r>
    </w:p>
    <w:p w14:paraId="57EF6ADF" w14:textId="40A4BD18" w:rsidR="00366CB8"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lastRenderedPageBreak/>
        <w:t xml:space="preserve">Likewise, consider a doctor who, following an advance directive for </w:t>
      </w:r>
      <w:r w:rsidR="00843CB9" w:rsidRPr="00993785">
        <w:rPr>
          <w:rFonts w:ascii="Garamond" w:eastAsia="Garamond" w:hAnsi="Garamond" w:cs="Garamond"/>
        </w:rPr>
        <w:t>PAD</w:t>
      </w:r>
      <w:r w:rsidRPr="00993785">
        <w:rPr>
          <w:rFonts w:ascii="Garamond" w:eastAsia="Garamond" w:hAnsi="Garamond" w:cs="Garamond"/>
        </w:rPr>
        <w:t xml:space="preserve">, </w:t>
      </w:r>
      <w:r w:rsidR="006C00F5" w:rsidRPr="00993785">
        <w:rPr>
          <w:rFonts w:ascii="Garamond" w:eastAsia="Garamond" w:hAnsi="Garamond" w:cs="Garamond"/>
        </w:rPr>
        <w:t>provides</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to a patient. If the patient’s wishes have changed since completing </w:t>
      </w:r>
      <w:r w:rsidR="006C00F5" w:rsidRPr="00993785">
        <w:rPr>
          <w:rFonts w:ascii="Garamond" w:eastAsia="Garamond" w:hAnsi="Garamond" w:cs="Garamond"/>
        </w:rPr>
        <w:t>their</w:t>
      </w:r>
      <w:r w:rsidRPr="00993785">
        <w:rPr>
          <w:rFonts w:ascii="Garamond" w:eastAsia="Garamond" w:hAnsi="Garamond" w:cs="Garamond"/>
        </w:rPr>
        <w:t xml:space="preserve"> advance directive, the doctor kills the patient against their will. But if the doctor—like the surgeon—</w:t>
      </w:r>
      <w:r w:rsidR="00182EED" w:rsidRPr="00993785">
        <w:rPr>
          <w:rFonts w:ascii="Garamond" w:eastAsia="Garamond" w:hAnsi="Garamond" w:cs="Garamond"/>
        </w:rPr>
        <w:t>has</w:t>
      </w:r>
      <w:r w:rsidRPr="00993785">
        <w:rPr>
          <w:rFonts w:ascii="Garamond" w:eastAsia="Garamond" w:hAnsi="Garamond" w:cs="Garamond"/>
        </w:rPr>
        <w:t xml:space="preserve"> no good reason to think</w:t>
      </w:r>
      <w:r w:rsidR="007D1F2A">
        <w:rPr>
          <w:rFonts w:ascii="Garamond" w:eastAsia="Garamond" w:hAnsi="Garamond" w:cs="Garamond"/>
        </w:rPr>
        <w:t xml:space="preserve"> that</w:t>
      </w:r>
      <w:r w:rsidRPr="00993785">
        <w:rPr>
          <w:rFonts w:ascii="Garamond" w:eastAsia="Garamond" w:hAnsi="Garamond" w:cs="Garamond"/>
        </w:rPr>
        <w:t xml:space="preserve"> the patient’s wishes </w:t>
      </w:r>
      <w:r w:rsidR="00C92D6B">
        <w:rPr>
          <w:rFonts w:ascii="Garamond" w:eastAsia="Garamond" w:hAnsi="Garamond" w:cs="Garamond"/>
        </w:rPr>
        <w:t>have</w:t>
      </w:r>
      <w:r w:rsidR="00C92D6B" w:rsidRPr="00993785">
        <w:rPr>
          <w:rFonts w:ascii="Garamond" w:eastAsia="Garamond" w:hAnsi="Garamond" w:cs="Garamond"/>
        </w:rPr>
        <w:t xml:space="preserve"> </w:t>
      </w:r>
      <w:r w:rsidRPr="00993785">
        <w:rPr>
          <w:rFonts w:ascii="Garamond" w:eastAsia="Garamond" w:hAnsi="Garamond" w:cs="Garamond"/>
        </w:rPr>
        <w:t xml:space="preserve">changed, </w:t>
      </w:r>
      <w:r w:rsidR="00754AD9" w:rsidRPr="00993785">
        <w:rPr>
          <w:rFonts w:ascii="Garamond" w:eastAsia="Garamond" w:hAnsi="Garamond" w:cs="Garamond"/>
        </w:rPr>
        <w:t>then they have</w:t>
      </w:r>
      <w:r w:rsidR="009B6647" w:rsidRPr="00993785">
        <w:rPr>
          <w:rFonts w:ascii="Garamond" w:eastAsia="Garamond" w:hAnsi="Garamond" w:cs="Garamond"/>
        </w:rPr>
        <w:t xml:space="preserve"> not</w:t>
      </w:r>
      <w:r w:rsidRPr="00993785">
        <w:rPr>
          <w:rFonts w:ascii="Garamond" w:eastAsia="Garamond" w:hAnsi="Garamond" w:cs="Garamond"/>
        </w:rPr>
        <w:t xml:space="preserve"> violate</w:t>
      </w:r>
      <w:r w:rsidR="00754AD9" w:rsidRPr="00993785">
        <w:rPr>
          <w:rFonts w:ascii="Garamond" w:eastAsia="Garamond" w:hAnsi="Garamond" w:cs="Garamond"/>
        </w:rPr>
        <w:t>d</w:t>
      </w:r>
      <w:r w:rsidRPr="00993785">
        <w:rPr>
          <w:rFonts w:ascii="Garamond" w:eastAsia="Garamond" w:hAnsi="Garamond" w:cs="Garamond"/>
        </w:rPr>
        <w:t xml:space="preserve"> the patient’s right not to be killed. The reason why is that, by completing an advance directive requesting </w:t>
      </w:r>
      <w:r w:rsidR="00843CB9" w:rsidRPr="00993785">
        <w:rPr>
          <w:rFonts w:ascii="Garamond" w:eastAsia="Garamond" w:hAnsi="Garamond" w:cs="Garamond"/>
        </w:rPr>
        <w:t>PAD</w:t>
      </w:r>
      <w:r w:rsidRPr="00993785">
        <w:rPr>
          <w:rFonts w:ascii="Garamond" w:eastAsia="Garamond" w:hAnsi="Garamond" w:cs="Garamond"/>
        </w:rPr>
        <w:t xml:space="preserve">, the patient has waived their right not to be killed. </w:t>
      </w:r>
      <w:r w:rsidR="009B6647" w:rsidRPr="00993785">
        <w:rPr>
          <w:rFonts w:ascii="Garamond" w:eastAsia="Garamond" w:hAnsi="Garamond" w:cs="Garamond"/>
        </w:rPr>
        <w:t xml:space="preserve">And so, we cannot appeal to a patient’s right not to be killed in order to distinguish </w:t>
      </w:r>
      <w:r w:rsidR="006C00F5" w:rsidRPr="00993785">
        <w:rPr>
          <w:rFonts w:ascii="Garamond" w:eastAsia="Garamond" w:hAnsi="Garamond" w:cs="Garamond"/>
        </w:rPr>
        <w:t xml:space="preserve">advance directive-requested withdrawal </w:t>
      </w:r>
      <w:r w:rsidR="007D1F2A">
        <w:rPr>
          <w:rFonts w:ascii="Garamond" w:eastAsia="Garamond" w:hAnsi="Garamond" w:cs="Garamond"/>
        </w:rPr>
        <w:t xml:space="preserve">of care </w:t>
      </w:r>
      <w:r w:rsidR="009B6647" w:rsidRPr="00993785">
        <w:rPr>
          <w:rFonts w:ascii="Garamond" w:eastAsia="Garamond" w:hAnsi="Garamond" w:cs="Garamond"/>
        </w:rPr>
        <w:t xml:space="preserve">from </w:t>
      </w:r>
      <w:r w:rsidR="00873B86" w:rsidRPr="00993785">
        <w:rPr>
          <w:rFonts w:ascii="Garamond" w:eastAsia="Garamond" w:hAnsi="Garamond" w:cs="Garamond"/>
        </w:rPr>
        <w:t>advance directive-requested</w:t>
      </w:r>
      <w:r w:rsidR="009B6647" w:rsidRPr="00993785">
        <w:rPr>
          <w:rFonts w:ascii="Garamond" w:eastAsia="Garamond" w:hAnsi="Garamond" w:cs="Garamond"/>
        </w:rPr>
        <w:t xml:space="preserve"> </w:t>
      </w:r>
      <w:r w:rsidR="00843CB9" w:rsidRPr="00993785">
        <w:rPr>
          <w:rFonts w:ascii="Garamond" w:eastAsia="Garamond" w:hAnsi="Garamond" w:cs="Garamond"/>
        </w:rPr>
        <w:t>PAD</w:t>
      </w:r>
      <w:r w:rsidR="009B6647" w:rsidRPr="00993785">
        <w:rPr>
          <w:rFonts w:ascii="Garamond" w:eastAsia="Garamond" w:hAnsi="Garamond" w:cs="Garamond"/>
        </w:rPr>
        <w:t xml:space="preserve">. </w:t>
      </w:r>
    </w:p>
    <w:p w14:paraId="36B4FC89" w14:textId="77777777" w:rsidR="00366CB8" w:rsidRPr="00993785" w:rsidRDefault="00366CB8" w:rsidP="00EA3155">
      <w:pPr>
        <w:spacing w:line="480" w:lineRule="auto"/>
        <w:ind w:firstLine="720"/>
        <w:jc w:val="both"/>
        <w:rPr>
          <w:rFonts w:ascii="Garamond" w:eastAsia="Garamond" w:hAnsi="Garamond" w:cs="Garamond"/>
        </w:rPr>
      </w:pPr>
    </w:p>
    <w:p w14:paraId="5E34C208" w14:textId="77777777" w:rsidR="00F72E1A" w:rsidRPr="00993785" w:rsidRDefault="00F72E1A" w:rsidP="00EA3155">
      <w:pPr>
        <w:spacing w:line="480" w:lineRule="auto"/>
        <w:jc w:val="both"/>
        <w:outlineLvl w:val="0"/>
        <w:rPr>
          <w:rFonts w:ascii="Garamond" w:eastAsia="Garamond" w:hAnsi="Garamond" w:cs="Garamond"/>
          <w:b/>
          <w:color w:val="000000"/>
        </w:rPr>
      </w:pPr>
      <w:r w:rsidRPr="00993785">
        <w:rPr>
          <w:rFonts w:ascii="Garamond" w:eastAsia="Garamond" w:hAnsi="Garamond" w:cs="Garamond"/>
          <w:b/>
          <w:color w:val="000000"/>
        </w:rPr>
        <w:t>2.4—Appeal to Contemporaneous Consent</w:t>
      </w:r>
    </w:p>
    <w:p w14:paraId="29049AC1" w14:textId="0A21A112" w:rsidR="00F72E1A" w:rsidRPr="00993785" w:rsidRDefault="009B6647" w:rsidP="00EA3155">
      <w:pPr>
        <w:spacing w:line="480" w:lineRule="auto"/>
        <w:jc w:val="both"/>
        <w:rPr>
          <w:rFonts w:ascii="Garamond" w:eastAsia="Garamond" w:hAnsi="Garamond" w:cs="Garamond"/>
        </w:rPr>
      </w:pPr>
      <w:r w:rsidRPr="00993785">
        <w:rPr>
          <w:rFonts w:ascii="Garamond" w:hAnsi="Garamond"/>
        </w:rPr>
        <w:t xml:space="preserve">Our response in the </w:t>
      </w:r>
      <w:r w:rsidR="00A977E3" w:rsidRPr="00993785">
        <w:rPr>
          <w:rFonts w:ascii="Garamond" w:hAnsi="Garamond"/>
        </w:rPr>
        <w:t>last</w:t>
      </w:r>
      <w:r w:rsidRPr="00993785">
        <w:rPr>
          <w:rFonts w:ascii="Garamond" w:hAnsi="Garamond"/>
        </w:rPr>
        <w:t xml:space="preserve"> subsection assumes that, </w:t>
      </w:r>
      <w:r w:rsidR="00F72E1A" w:rsidRPr="00993785">
        <w:rPr>
          <w:rFonts w:ascii="Garamond" w:hAnsi="Garamond"/>
        </w:rPr>
        <w:t>when we waive our right not to be killed, that waiver can remain in effect for some time. But our opponent might not grant this assumption, arguing instead that</w:t>
      </w:r>
      <w:r w:rsidR="00F72E1A" w:rsidRPr="00993785">
        <w:rPr>
          <w:rFonts w:ascii="Garamond" w:eastAsia="Garamond" w:hAnsi="Garamond" w:cs="Garamond"/>
        </w:rPr>
        <w:t xml:space="preserve"> </w:t>
      </w:r>
      <w:r w:rsidR="00F72E1A" w:rsidRPr="00993785">
        <w:rPr>
          <w:rFonts w:ascii="Garamond" w:eastAsia="Garamond" w:hAnsi="Garamond" w:cs="Garamond"/>
          <w:color w:val="000000"/>
        </w:rPr>
        <w:t>the right not to be killed is one that can only be waived contemporaneously</w:t>
      </w:r>
      <w:r w:rsidRPr="00993785">
        <w:rPr>
          <w:rFonts w:ascii="Garamond" w:eastAsia="Garamond" w:hAnsi="Garamond" w:cs="Garamond"/>
          <w:color w:val="000000"/>
        </w:rPr>
        <w:t>, i.e.</w:t>
      </w:r>
      <w:r w:rsidR="00F72E1A" w:rsidRPr="00993785">
        <w:rPr>
          <w:rFonts w:ascii="Garamond" w:eastAsia="Garamond" w:hAnsi="Garamond" w:cs="Garamond"/>
          <w:color w:val="000000"/>
        </w:rPr>
        <w:t xml:space="preserve"> at the point at which the decision to be killed is being made. This, after all, is how some rights</w:t>
      </w:r>
      <w:r w:rsidR="006A22D1" w:rsidRPr="00993785">
        <w:rPr>
          <w:rFonts w:ascii="Garamond" w:eastAsia="Garamond" w:hAnsi="Garamond" w:cs="Garamond"/>
          <w:color w:val="000000"/>
        </w:rPr>
        <w:t xml:space="preserve">, like our right against sexual </w:t>
      </w:r>
      <w:r w:rsidR="00182EED" w:rsidRPr="00993785">
        <w:rPr>
          <w:rFonts w:ascii="Garamond" w:eastAsia="Garamond" w:hAnsi="Garamond" w:cs="Garamond"/>
          <w:color w:val="000000"/>
        </w:rPr>
        <w:t>contact</w:t>
      </w:r>
      <w:r w:rsidR="006A22D1" w:rsidRPr="00993785">
        <w:rPr>
          <w:rFonts w:ascii="Garamond" w:eastAsia="Garamond" w:hAnsi="Garamond" w:cs="Garamond"/>
          <w:color w:val="000000"/>
        </w:rPr>
        <w:t>,</w:t>
      </w:r>
      <w:r w:rsidR="00F72E1A" w:rsidRPr="00993785">
        <w:rPr>
          <w:rFonts w:ascii="Garamond" w:eastAsia="Garamond" w:hAnsi="Garamond" w:cs="Garamond"/>
          <w:color w:val="000000"/>
        </w:rPr>
        <w:t xml:space="preserve"> work. If Jane agreed last week to have sex with Marshall on Friday, that does not make it permissible for Marshall to have sex with </w:t>
      </w:r>
      <w:r w:rsidR="00F72E1A" w:rsidRPr="00993785">
        <w:rPr>
          <w:rFonts w:ascii="Garamond" w:eastAsia="Garamond" w:hAnsi="Garamond" w:cs="Garamond"/>
        </w:rPr>
        <w:t>J</w:t>
      </w:r>
      <w:r w:rsidR="00F72E1A" w:rsidRPr="00993785">
        <w:rPr>
          <w:rFonts w:ascii="Garamond" w:eastAsia="Garamond" w:hAnsi="Garamond" w:cs="Garamond"/>
          <w:color w:val="000000"/>
        </w:rPr>
        <w:t xml:space="preserve">ane </w:t>
      </w:r>
      <w:r w:rsidR="00204C6A" w:rsidRPr="00993785">
        <w:rPr>
          <w:rFonts w:ascii="Garamond" w:eastAsia="Garamond" w:hAnsi="Garamond" w:cs="Garamond"/>
          <w:color w:val="000000"/>
        </w:rPr>
        <w:t>on</w:t>
      </w:r>
      <w:r w:rsidR="00F72E1A" w:rsidRPr="00993785">
        <w:rPr>
          <w:rFonts w:ascii="Garamond" w:eastAsia="Garamond" w:hAnsi="Garamond" w:cs="Garamond"/>
          <w:color w:val="000000"/>
        </w:rPr>
        <w:t xml:space="preserve"> Friday</w:t>
      </w:r>
      <w:r w:rsidR="00204C6A" w:rsidRPr="00993785">
        <w:rPr>
          <w:rFonts w:ascii="Garamond" w:eastAsia="Garamond" w:hAnsi="Garamond" w:cs="Garamond"/>
          <w:color w:val="000000"/>
        </w:rPr>
        <w:t xml:space="preserve"> without once again securing her consent</w:t>
      </w:r>
      <w:r w:rsidR="006A22D1" w:rsidRPr="00993785">
        <w:rPr>
          <w:rFonts w:ascii="Garamond" w:eastAsia="Garamond" w:hAnsi="Garamond" w:cs="Garamond"/>
          <w:color w:val="000000"/>
        </w:rPr>
        <w:t>.</w:t>
      </w:r>
    </w:p>
    <w:p w14:paraId="30B19C88" w14:textId="0AF7077B" w:rsidR="00F72E1A" w:rsidRPr="00993785" w:rsidRDefault="00F72E1A" w:rsidP="006C00F5">
      <w:pPr>
        <w:spacing w:line="480" w:lineRule="auto"/>
        <w:ind w:firstLine="720"/>
        <w:jc w:val="both"/>
        <w:rPr>
          <w:rFonts w:ascii="Garamond" w:eastAsia="Garamond" w:hAnsi="Garamond" w:cs="Garamond"/>
        </w:rPr>
      </w:pPr>
      <w:r w:rsidRPr="00993785">
        <w:rPr>
          <w:rFonts w:ascii="Garamond" w:eastAsia="Garamond" w:hAnsi="Garamond" w:cs="Garamond"/>
        </w:rPr>
        <w:t xml:space="preserve">If our right not to be killed cannot be waived in advance, then this could provide a principled reason for accepting </w:t>
      </w:r>
      <w:r w:rsidR="006C00F5" w:rsidRPr="00993785">
        <w:rPr>
          <w:rFonts w:ascii="Garamond" w:eastAsia="Garamond" w:hAnsi="Garamond" w:cs="Garamond"/>
        </w:rPr>
        <w:t xml:space="preserve">that patients can request PAD directly, and can request withdrawal of care via an advance directive, while denying that they can request PAD via an advance directive. </w:t>
      </w:r>
      <w:r w:rsidRPr="00993785">
        <w:rPr>
          <w:rFonts w:ascii="Garamond" w:eastAsia="Garamond" w:hAnsi="Garamond" w:cs="Garamond"/>
        </w:rPr>
        <w:t xml:space="preserve">But this claim about when </w:t>
      </w:r>
      <w:r w:rsidR="003C532C" w:rsidRPr="00993785">
        <w:rPr>
          <w:rFonts w:ascii="Garamond" w:eastAsia="Garamond" w:hAnsi="Garamond" w:cs="Garamond"/>
        </w:rPr>
        <w:t xml:space="preserve">the </w:t>
      </w:r>
      <w:r w:rsidRPr="00993785">
        <w:rPr>
          <w:rFonts w:ascii="Garamond" w:eastAsia="Garamond" w:hAnsi="Garamond" w:cs="Garamond"/>
        </w:rPr>
        <w:t xml:space="preserve">right </w:t>
      </w:r>
      <w:r w:rsidR="003C532C" w:rsidRPr="00993785">
        <w:rPr>
          <w:rFonts w:ascii="Garamond" w:eastAsia="Garamond" w:hAnsi="Garamond" w:cs="Garamond"/>
        </w:rPr>
        <w:t xml:space="preserve">not to be killed </w:t>
      </w:r>
      <w:r w:rsidRPr="00993785">
        <w:rPr>
          <w:rFonts w:ascii="Garamond" w:eastAsia="Garamond" w:hAnsi="Garamond" w:cs="Garamond"/>
        </w:rPr>
        <w:t xml:space="preserve">can be waived lacks theoretical motivation. The best way to motivate it is </w:t>
      </w:r>
      <w:r w:rsidRPr="00993785">
        <w:rPr>
          <w:rFonts w:ascii="Garamond" w:eastAsia="Garamond" w:hAnsi="Garamond" w:cs="Garamond"/>
          <w:color w:val="000000"/>
        </w:rPr>
        <w:t xml:space="preserve">by appeal to other rights that </w:t>
      </w:r>
      <w:r w:rsidRPr="00993785">
        <w:rPr>
          <w:rFonts w:ascii="Garamond" w:eastAsia="Garamond" w:hAnsi="Garamond" w:cs="Garamond"/>
        </w:rPr>
        <w:t>can only be waived contemporaneously</w:t>
      </w:r>
      <w:r w:rsidRPr="00993785">
        <w:rPr>
          <w:rFonts w:ascii="Garamond" w:eastAsia="Garamond" w:hAnsi="Garamond" w:cs="Garamond"/>
          <w:color w:val="000000"/>
        </w:rPr>
        <w:t xml:space="preserve">. </w:t>
      </w:r>
      <w:r w:rsidRPr="00993785">
        <w:rPr>
          <w:rFonts w:ascii="Garamond" w:eastAsia="Garamond" w:hAnsi="Garamond" w:cs="Garamond"/>
        </w:rPr>
        <w:t>If there is a good explanation of why these other rights can only be waived contemporaneously, then this explanation might provide reason to think that a right against being killed ca</w:t>
      </w:r>
      <w:r w:rsidR="00811E95" w:rsidRPr="00993785">
        <w:rPr>
          <w:rFonts w:ascii="Garamond" w:eastAsia="Garamond" w:hAnsi="Garamond" w:cs="Garamond"/>
        </w:rPr>
        <w:t>nnot be waived in advance</w:t>
      </w:r>
      <w:r w:rsidRPr="00993785">
        <w:rPr>
          <w:rFonts w:ascii="Garamond" w:eastAsia="Garamond" w:hAnsi="Garamond" w:cs="Garamond"/>
        </w:rPr>
        <w:t>.</w:t>
      </w:r>
      <w:r w:rsidRPr="00993785">
        <w:rPr>
          <w:rFonts w:ascii="Garamond" w:eastAsia="Garamond" w:hAnsi="Garamond" w:cs="Garamond"/>
          <w:color w:val="000000"/>
        </w:rPr>
        <w:t xml:space="preserve"> But, as we will </w:t>
      </w:r>
      <w:r w:rsidRPr="00993785">
        <w:rPr>
          <w:rFonts w:ascii="Garamond" w:eastAsia="Garamond" w:hAnsi="Garamond" w:cs="Garamond"/>
        </w:rPr>
        <w:t>argue, the best explanations of the contemporaneous requirement in other cases do not provide any reason to think the right against being killed can only be waived contemporaneously.</w:t>
      </w:r>
    </w:p>
    <w:p w14:paraId="28CECCA6" w14:textId="41E6B148" w:rsidR="00F72E1A" w:rsidRPr="00993785" w:rsidRDefault="00F72E1A" w:rsidP="00EA3155">
      <w:pPr>
        <w:spacing w:line="480" w:lineRule="auto"/>
        <w:ind w:firstLine="720"/>
        <w:jc w:val="both"/>
        <w:rPr>
          <w:rFonts w:ascii="Garamond" w:eastAsia="Times New Roman" w:hAnsi="Garamond" w:cs="Times New Roman"/>
        </w:rPr>
      </w:pPr>
      <w:r w:rsidRPr="00993785">
        <w:rPr>
          <w:rFonts w:ascii="Garamond" w:eastAsia="Garamond" w:hAnsi="Garamond" w:cs="Garamond"/>
        </w:rPr>
        <w:lastRenderedPageBreak/>
        <w:t>Consider</w:t>
      </w:r>
      <w:r w:rsidR="006A22D1" w:rsidRPr="00993785">
        <w:rPr>
          <w:rFonts w:ascii="Garamond" w:eastAsia="Garamond" w:hAnsi="Garamond" w:cs="Garamond"/>
        </w:rPr>
        <w:t xml:space="preserve"> again</w:t>
      </w:r>
      <w:r w:rsidRPr="00993785">
        <w:rPr>
          <w:rFonts w:ascii="Garamond" w:eastAsia="Garamond" w:hAnsi="Garamond" w:cs="Garamond"/>
        </w:rPr>
        <w:t xml:space="preserve"> our right against sexual contact. </w:t>
      </w:r>
      <w:r w:rsidRPr="00993785">
        <w:rPr>
          <w:rFonts w:ascii="Garamond" w:eastAsia="Garamond" w:hAnsi="Garamond" w:cs="Garamond"/>
          <w:color w:val="000000"/>
        </w:rPr>
        <w:t xml:space="preserve">It is easy to see why there might be a contemporaneous consent requirement </w:t>
      </w:r>
      <w:r w:rsidR="003C532C" w:rsidRPr="00993785">
        <w:rPr>
          <w:rFonts w:ascii="Garamond" w:eastAsia="Garamond" w:hAnsi="Garamond" w:cs="Garamond"/>
          <w:color w:val="000000"/>
        </w:rPr>
        <w:t>here</w:t>
      </w:r>
      <w:r w:rsidRPr="00993785">
        <w:rPr>
          <w:rFonts w:ascii="Garamond" w:eastAsia="Garamond" w:hAnsi="Garamond" w:cs="Garamond"/>
          <w:color w:val="000000"/>
        </w:rPr>
        <w:t>.</w:t>
      </w:r>
      <w:r w:rsidRPr="00993785">
        <w:rPr>
          <w:rStyle w:val="FootnoteReference"/>
          <w:rFonts w:ascii="Garamond" w:eastAsia="Garamond" w:hAnsi="Garamond" w:cs="Garamond"/>
          <w:color w:val="000000"/>
        </w:rPr>
        <w:footnoteReference w:id="13"/>
      </w:r>
      <w:r w:rsidRPr="00993785">
        <w:rPr>
          <w:rFonts w:ascii="Garamond" w:eastAsia="Garamond" w:hAnsi="Garamond" w:cs="Garamond"/>
          <w:color w:val="000000"/>
        </w:rPr>
        <w:t xml:space="preserve"> If consent </w:t>
      </w:r>
      <w:r w:rsidR="00AA375F" w:rsidRPr="00993785">
        <w:rPr>
          <w:rFonts w:ascii="Garamond" w:eastAsia="Garamond" w:hAnsi="Garamond" w:cs="Garamond"/>
          <w:color w:val="000000"/>
        </w:rPr>
        <w:t>is not</w:t>
      </w:r>
      <w:r w:rsidRPr="00993785">
        <w:rPr>
          <w:rFonts w:ascii="Garamond" w:eastAsia="Garamond" w:hAnsi="Garamond" w:cs="Garamond"/>
          <w:color w:val="000000"/>
        </w:rPr>
        <w:t xml:space="preserve"> contemporaneously obtained, then a </w:t>
      </w:r>
      <w:r w:rsidR="00182EED" w:rsidRPr="00993785">
        <w:rPr>
          <w:rFonts w:ascii="Garamond" w:eastAsia="Garamond" w:hAnsi="Garamond" w:cs="Garamond"/>
          <w:color w:val="000000"/>
        </w:rPr>
        <w:t xml:space="preserve">serious </w:t>
      </w:r>
      <w:r w:rsidRPr="00993785">
        <w:rPr>
          <w:rFonts w:ascii="Garamond" w:eastAsia="Garamond" w:hAnsi="Garamond" w:cs="Garamond"/>
          <w:color w:val="000000"/>
        </w:rPr>
        <w:t>rights violation has occurred. And it</w:t>
      </w:r>
      <w:r w:rsidR="007D1F2A">
        <w:rPr>
          <w:rFonts w:ascii="Garamond" w:eastAsia="Garamond" w:hAnsi="Garamond" w:cs="Garamond"/>
          <w:color w:val="000000"/>
        </w:rPr>
        <w:t xml:space="preserve"> i</w:t>
      </w:r>
      <w:r w:rsidRPr="00993785">
        <w:rPr>
          <w:rFonts w:ascii="Garamond" w:eastAsia="Garamond" w:hAnsi="Garamond" w:cs="Garamond"/>
          <w:color w:val="000000"/>
        </w:rPr>
        <w:t xml:space="preserve">s a rights violation that </w:t>
      </w:r>
      <w:r w:rsidR="00AA375F" w:rsidRPr="00993785">
        <w:rPr>
          <w:rFonts w:ascii="Garamond" w:eastAsia="Garamond" w:hAnsi="Garamond" w:cs="Garamond"/>
          <w:color w:val="000000"/>
        </w:rPr>
        <w:t>cannot</w:t>
      </w:r>
      <w:r w:rsidRPr="00993785">
        <w:rPr>
          <w:rFonts w:ascii="Garamond" w:eastAsia="Garamond" w:hAnsi="Garamond" w:cs="Garamond"/>
          <w:color w:val="000000"/>
        </w:rPr>
        <w:t xml:space="preserve"> be outweighed by appeal to interests; even if it may sometimes be permissible for you to violate my rights </w:t>
      </w:r>
      <w:r w:rsidR="008879D5" w:rsidRPr="00993785">
        <w:rPr>
          <w:rFonts w:ascii="Garamond" w:eastAsia="Garamond" w:hAnsi="Garamond" w:cs="Garamond"/>
          <w:color w:val="000000"/>
        </w:rPr>
        <w:t>to promote my</w:t>
      </w:r>
      <w:r w:rsidRPr="00993785">
        <w:rPr>
          <w:rFonts w:ascii="Garamond" w:eastAsia="Garamond" w:hAnsi="Garamond" w:cs="Garamond"/>
          <w:color w:val="000000"/>
        </w:rPr>
        <w:t xml:space="preserve"> interests, there are no interests at stake that would justify a rights violation </w:t>
      </w:r>
      <w:r w:rsidR="008879D5" w:rsidRPr="00993785">
        <w:rPr>
          <w:rFonts w:ascii="Garamond" w:eastAsia="Garamond" w:hAnsi="Garamond" w:cs="Garamond"/>
          <w:color w:val="000000"/>
        </w:rPr>
        <w:t>here</w:t>
      </w:r>
      <w:r w:rsidRPr="00993785">
        <w:rPr>
          <w:rFonts w:ascii="Garamond" w:eastAsia="Garamond" w:hAnsi="Garamond" w:cs="Garamond"/>
          <w:color w:val="000000"/>
        </w:rPr>
        <w:t>. The rights violation occurring is also especially serious; to borrow from Kant, Marshall is using Jane merely as a means to his pleasure. </w:t>
      </w:r>
    </w:p>
    <w:p w14:paraId="208DBB79" w14:textId="049164CC" w:rsidR="00F72E1A" w:rsidRPr="00993785" w:rsidRDefault="00F72E1A"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These considerations suggest that our right against sexual contact can only be waived contemporaneously. </w:t>
      </w:r>
      <w:r w:rsidRPr="00993785">
        <w:rPr>
          <w:rFonts w:ascii="Garamond" w:eastAsia="Garamond" w:hAnsi="Garamond" w:cs="Garamond"/>
          <w:color w:val="000000"/>
        </w:rPr>
        <w:t xml:space="preserve">But note that the defenses that we can offer for the contemporaneous consent requirement in the </w:t>
      </w:r>
      <w:r w:rsidRPr="00993785">
        <w:rPr>
          <w:rFonts w:ascii="Garamond" w:eastAsia="Garamond" w:hAnsi="Garamond" w:cs="Garamond"/>
        </w:rPr>
        <w:t>case of sexual contact</w:t>
      </w:r>
      <w:r w:rsidRPr="00993785">
        <w:rPr>
          <w:rFonts w:ascii="Garamond" w:eastAsia="Garamond" w:hAnsi="Garamond" w:cs="Garamond"/>
          <w:color w:val="000000"/>
        </w:rPr>
        <w:t xml:space="preserve"> </w:t>
      </w:r>
      <w:r w:rsidR="00AA375F" w:rsidRPr="00993785">
        <w:rPr>
          <w:rFonts w:ascii="Garamond" w:eastAsia="Garamond" w:hAnsi="Garamond" w:cs="Garamond"/>
        </w:rPr>
        <w:t>do not</w:t>
      </w:r>
      <w:r w:rsidRPr="00993785">
        <w:rPr>
          <w:rFonts w:ascii="Garamond" w:eastAsia="Garamond" w:hAnsi="Garamond" w:cs="Garamond"/>
        </w:rPr>
        <w:t xml:space="preserve"> apply in the case of</w:t>
      </w:r>
      <w:r w:rsidRPr="00993785">
        <w:rPr>
          <w:rFonts w:ascii="Garamond" w:eastAsia="Garamond" w:hAnsi="Garamond" w:cs="Garamond"/>
          <w:color w:val="000000"/>
        </w:rPr>
        <w:t xml:space="preserve">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Take the appeal to interests—while Jane’s interests are </w:t>
      </w:r>
      <w:r w:rsidR="00C92D6B">
        <w:rPr>
          <w:rFonts w:ascii="Garamond" w:eastAsia="Garamond" w:hAnsi="Garamond" w:cs="Garamond"/>
          <w:color w:val="000000"/>
        </w:rPr>
        <w:t xml:space="preserve">clearly </w:t>
      </w:r>
      <w:r w:rsidRPr="00993785">
        <w:rPr>
          <w:rFonts w:ascii="Garamond" w:eastAsia="Garamond" w:hAnsi="Garamond" w:cs="Garamond"/>
          <w:color w:val="000000"/>
        </w:rPr>
        <w:t xml:space="preserve">not furthered by being sexually assaulted, a patient’s interests may be furthered by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even if it is performed without contemporaneous consent. This is because some terminal illnesses make life unbearable for their sufferers. Likewise, there is nothing objectifying about performing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in cases like </w:t>
      </w:r>
      <w:r w:rsidR="00AD482A" w:rsidRPr="00993785">
        <w:rPr>
          <w:rFonts w:ascii="Garamond" w:eastAsia="Garamond" w:hAnsi="Garamond" w:cs="Garamond"/>
          <w:color w:val="000000"/>
        </w:rPr>
        <w:t>Clara’s</w:t>
      </w:r>
      <w:r w:rsidRPr="00993785">
        <w:rPr>
          <w:rFonts w:ascii="Garamond" w:eastAsia="Garamond" w:hAnsi="Garamond" w:cs="Garamond"/>
          <w:color w:val="000000"/>
        </w:rPr>
        <w:t xml:space="preserve">; by granting the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request that she previously made</w:t>
      </w:r>
      <w:r w:rsidR="00873B86" w:rsidRPr="00993785">
        <w:rPr>
          <w:rFonts w:ascii="Garamond" w:eastAsia="Garamond" w:hAnsi="Garamond" w:cs="Garamond"/>
          <w:color w:val="000000"/>
        </w:rPr>
        <w:t xml:space="preserve"> in her advance directive</w:t>
      </w:r>
      <w:r w:rsidRPr="00993785">
        <w:rPr>
          <w:rFonts w:ascii="Garamond" w:eastAsia="Garamond" w:hAnsi="Garamond" w:cs="Garamond"/>
          <w:color w:val="000000"/>
        </w:rPr>
        <w:t xml:space="preserve">, </w:t>
      </w:r>
      <w:r w:rsidR="00AD482A" w:rsidRPr="00993785">
        <w:rPr>
          <w:rFonts w:ascii="Garamond" w:eastAsia="Garamond" w:hAnsi="Garamond" w:cs="Garamond"/>
          <w:color w:val="000000"/>
        </w:rPr>
        <w:t xml:space="preserve">Clara’s </w:t>
      </w:r>
      <w:r w:rsidRPr="00993785">
        <w:rPr>
          <w:rFonts w:ascii="Garamond" w:eastAsia="Garamond" w:hAnsi="Garamond" w:cs="Garamond"/>
          <w:color w:val="000000"/>
        </w:rPr>
        <w:t xml:space="preserve">doctors are </w:t>
      </w:r>
      <w:r w:rsidR="00873B86" w:rsidRPr="00993785">
        <w:rPr>
          <w:rFonts w:ascii="Garamond" w:eastAsia="Garamond" w:hAnsi="Garamond" w:cs="Garamond"/>
          <w:color w:val="000000"/>
        </w:rPr>
        <w:t>honoring what they take to be her seriously held values</w:t>
      </w:r>
      <w:r w:rsidR="00182EED" w:rsidRPr="00993785">
        <w:rPr>
          <w:rFonts w:ascii="Garamond" w:eastAsia="Garamond" w:hAnsi="Garamond" w:cs="Garamond"/>
          <w:color w:val="000000"/>
        </w:rPr>
        <w:t xml:space="preserve"> and are thus</w:t>
      </w:r>
      <w:r w:rsidR="00873B86" w:rsidRPr="00993785">
        <w:rPr>
          <w:rFonts w:ascii="Garamond" w:eastAsia="Garamond" w:hAnsi="Garamond" w:cs="Garamond"/>
          <w:color w:val="000000"/>
        </w:rPr>
        <w:t xml:space="preserve"> endeavoring to respect</w:t>
      </w:r>
      <w:r w:rsidRPr="00993785">
        <w:rPr>
          <w:rFonts w:ascii="Garamond" w:eastAsia="Garamond" w:hAnsi="Garamond" w:cs="Garamond"/>
          <w:color w:val="000000"/>
        </w:rPr>
        <w:t xml:space="preserve"> her as an end in herself.</w:t>
      </w:r>
    </w:p>
    <w:p w14:paraId="6F99F1F2" w14:textId="724523CB" w:rsidR="00BE123A" w:rsidRPr="00993785" w:rsidRDefault="00F72E1A" w:rsidP="000C0332">
      <w:pPr>
        <w:spacing w:line="480" w:lineRule="auto"/>
        <w:ind w:firstLine="720"/>
        <w:jc w:val="both"/>
        <w:rPr>
          <w:rFonts w:ascii="Garamond" w:eastAsia="Garamond" w:hAnsi="Garamond" w:cs="Garamond"/>
          <w:color w:val="000000"/>
        </w:rPr>
      </w:pPr>
      <w:r w:rsidRPr="00993785">
        <w:rPr>
          <w:rFonts w:ascii="Garamond" w:eastAsia="Garamond" w:hAnsi="Garamond" w:cs="Garamond"/>
        </w:rPr>
        <w:t xml:space="preserve">While some rights can only be waived contemporaneously, the reasons for thinking </w:t>
      </w:r>
      <w:r w:rsidR="007D1F2A">
        <w:rPr>
          <w:rFonts w:ascii="Garamond" w:eastAsia="Garamond" w:hAnsi="Garamond" w:cs="Garamond"/>
        </w:rPr>
        <w:t xml:space="preserve">that </w:t>
      </w:r>
      <w:r w:rsidRPr="00993785">
        <w:rPr>
          <w:rFonts w:ascii="Garamond" w:eastAsia="Garamond" w:hAnsi="Garamond" w:cs="Garamond"/>
        </w:rPr>
        <w:t xml:space="preserve">they can only be waived contemporaneously do not extend to the right against being killed. </w:t>
      </w:r>
      <w:r w:rsidR="003C532C" w:rsidRPr="00993785">
        <w:rPr>
          <w:rFonts w:ascii="Garamond" w:eastAsia="Garamond" w:hAnsi="Garamond" w:cs="Garamond"/>
        </w:rPr>
        <w:t>So, the claim that our right not to be killed can only be waived contemporaneously is</w:t>
      </w:r>
      <w:r w:rsidRPr="00993785">
        <w:rPr>
          <w:rFonts w:ascii="Garamond" w:eastAsia="Garamond" w:hAnsi="Garamond" w:cs="Garamond"/>
        </w:rPr>
        <w:t xml:space="preserve"> theoretically unmotivated.</w:t>
      </w:r>
      <w:r w:rsidR="00D01C7B" w:rsidRPr="00993785">
        <w:rPr>
          <w:rFonts w:ascii="Garamond" w:eastAsia="Garamond" w:hAnsi="Garamond" w:cs="Garamond"/>
        </w:rPr>
        <w:t xml:space="preserve"> </w:t>
      </w:r>
      <w:r w:rsidR="00C64B1F" w:rsidRPr="00993785">
        <w:rPr>
          <w:rFonts w:ascii="Garamond" w:eastAsia="Garamond" w:hAnsi="Garamond" w:cs="Garamond"/>
        </w:rPr>
        <w:t>This means that</w:t>
      </w:r>
      <w:r w:rsidRPr="00993785">
        <w:rPr>
          <w:rFonts w:ascii="Garamond" w:eastAsia="Garamond" w:hAnsi="Garamond" w:cs="Garamond"/>
          <w:color w:val="000000"/>
        </w:rPr>
        <w:t xml:space="preserve"> we cannot appeal to a contemporaneous consent requirement to distinguish </w:t>
      </w:r>
      <w:r w:rsidR="00873B86" w:rsidRPr="00993785">
        <w:rPr>
          <w:rFonts w:ascii="Garamond" w:eastAsia="Garamond" w:hAnsi="Garamond" w:cs="Garamond"/>
          <w:color w:val="000000"/>
        </w:rPr>
        <w:t>advance directive-requested</w:t>
      </w:r>
      <w:r w:rsidRPr="00993785">
        <w:rPr>
          <w:rFonts w:ascii="Garamond" w:eastAsia="Garamond" w:hAnsi="Garamond" w:cs="Garamond"/>
          <w:color w:val="000000"/>
        </w:rPr>
        <w:t xml:space="preserve"> </w:t>
      </w:r>
      <w:r w:rsidR="00843CB9" w:rsidRPr="00993785">
        <w:rPr>
          <w:rFonts w:ascii="Garamond" w:eastAsia="Garamond" w:hAnsi="Garamond" w:cs="Garamond"/>
          <w:color w:val="000000"/>
        </w:rPr>
        <w:t>PAD</w:t>
      </w:r>
      <w:r w:rsidRPr="00993785">
        <w:rPr>
          <w:rFonts w:ascii="Garamond" w:eastAsia="Garamond" w:hAnsi="Garamond" w:cs="Garamond"/>
          <w:color w:val="000000"/>
        </w:rPr>
        <w:t xml:space="preserve"> from </w:t>
      </w:r>
      <w:r w:rsidR="00873B86" w:rsidRPr="00993785">
        <w:rPr>
          <w:rFonts w:ascii="Garamond" w:eastAsia="Garamond" w:hAnsi="Garamond" w:cs="Garamond"/>
          <w:color w:val="000000"/>
        </w:rPr>
        <w:t>advance directive-requested withdrawal of care.</w:t>
      </w:r>
      <w:r w:rsidRPr="00993785">
        <w:rPr>
          <w:rFonts w:ascii="Garamond" w:eastAsia="Garamond" w:hAnsi="Garamond" w:cs="Garamond"/>
          <w:color w:val="000000"/>
        </w:rPr>
        <w:t xml:space="preserve"> </w:t>
      </w:r>
    </w:p>
    <w:p w14:paraId="3663B664" w14:textId="77777777" w:rsidR="00DD4AFE" w:rsidRPr="00993785" w:rsidRDefault="00DD4AFE" w:rsidP="00EA3155">
      <w:pPr>
        <w:spacing w:line="480" w:lineRule="auto"/>
        <w:ind w:firstLine="720"/>
        <w:jc w:val="both"/>
        <w:rPr>
          <w:rFonts w:ascii="Garamond" w:eastAsia="Garamond" w:hAnsi="Garamond" w:cs="Garamond"/>
          <w:color w:val="000000"/>
        </w:rPr>
      </w:pPr>
    </w:p>
    <w:p w14:paraId="6E9ECA36" w14:textId="77777777" w:rsidR="00F72E1A" w:rsidRPr="00993785" w:rsidRDefault="00F72E1A" w:rsidP="00EA3155">
      <w:pPr>
        <w:spacing w:line="480" w:lineRule="auto"/>
        <w:jc w:val="both"/>
        <w:outlineLvl w:val="0"/>
        <w:rPr>
          <w:rFonts w:ascii="Garamond" w:eastAsia="Garamond" w:hAnsi="Garamond" w:cs="Garamond"/>
          <w:b/>
        </w:rPr>
      </w:pPr>
      <w:r w:rsidRPr="00993785">
        <w:rPr>
          <w:rFonts w:ascii="Garamond" w:eastAsia="Garamond" w:hAnsi="Garamond" w:cs="Garamond"/>
          <w:b/>
        </w:rPr>
        <w:lastRenderedPageBreak/>
        <w:t>Section 2.5—Wrapping Up</w:t>
      </w:r>
    </w:p>
    <w:p w14:paraId="5CC06669" w14:textId="569B4FDE" w:rsidR="00F72E1A" w:rsidRPr="00993785" w:rsidRDefault="00F72E1A" w:rsidP="00EA3155">
      <w:pPr>
        <w:widowControl w:val="0"/>
        <w:spacing w:line="480" w:lineRule="auto"/>
        <w:jc w:val="both"/>
        <w:rPr>
          <w:rFonts w:ascii="Garamond" w:eastAsia="Garamond" w:hAnsi="Garamond" w:cs="Garamond"/>
        </w:rPr>
      </w:pPr>
      <w:r w:rsidRPr="00993785">
        <w:rPr>
          <w:rFonts w:ascii="Garamond" w:eastAsia="Garamond" w:hAnsi="Garamond" w:cs="Garamond"/>
        </w:rPr>
        <w:t xml:space="preserve">We have </w:t>
      </w:r>
      <w:r w:rsidR="009B6647" w:rsidRPr="00993785">
        <w:rPr>
          <w:rFonts w:ascii="Garamond" w:eastAsia="Garamond" w:hAnsi="Garamond" w:cs="Garamond"/>
        </w:rPr>
        <w:t xml:space="preserve">now </w:t>
      </w:r>
      <w:r w:rsidRPr="00993785">
        <w:rPr>
          <w:rFonts w:ascii="Garamond" w:eastAsia="Garamond" w:hAnsi="Garamond" w:cs="Garamond"/>
        </w:rPr>
        <w:t xml:space="preserve">considered </w:t>
      </w:r>
      <w:r w:rsidR="009B6647" w:rsidRPr="00993785">
        <w:rPr>
          <w:rFonts w:ascii="Garamond" w:eastAsia="Garamond" w:hAnsi="Garamond" w:cs="Garamond"/>
        </w:rPr>
        <w:t xml:space="preserve">what we think are the most plausible </w:t>
      </w:r>
      <w:r w:rsidRPr="00993785">
        <w:rPr>
          <w:rFonts w:ascii="Garamond" w:eastAsia="Garamond" w:hAnsi="Garamond" w:cs="Garamond"/>
        </w:rPr>
        <w:t xml:space="preserve">explanations of why </w:t>
      </w:r>
      <w:r w:rsidR="00873B86"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might be impermissible even if </w:t>
      </w:r>
      <w:r w:rsidR="00873B86" w:rsidRPr="00993785">
        <w:rPr>
          <w:rFonts w:ascii="Garamond" w:eastAsia="Garamond" w:hAnsi="Garamond" w:cs="Garamond"/>
        </w:rPr>
        <w:t>patient-requested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 </w:t>
      </w:r>
      <w:r w:rsidR="00873B86" w:rsidRPr="00993785">
        <w:rPr>
          <w:rFonts w:ascii="Garamond" w:eastAsia="Garamond" w:hAnsi="Garamond" w:cs="Garamond"/>
        </w:rPr>
        <w:t>advan</w:t>
      </w:r>
      <w:r w:rsidR="00182EED" w:rsidRPr="00993785">
        <w:rPr>
          <w:rFonts w:ascii="Garamond" w:eastAsia="Garamond" w:hAnsi="Garamond" w:cs="Garamond"/>
        </w:rPr>
        <w:t>c</w:t>
      </w:r>
      <w:r w:rsidR="00873B86" w:rsidRPr="00993785">
        <w:rPr>
          <w:rFonts w:ascii="Garamond" w:eastAsia="Garamond" w:hAnsi="Garamond" w:cs="Garamond"/>
        </w:rPr>
        <w:t>e directive-requested withdrawal</w:t>
      </w:r>
      <w:r w:rsidRPr="00993785">
        <w:rPr>
          <w:rFonts w:ascii="Garamond" w:eastAsia="Garamond" w:hAnsi="Garamond" w:cs="Garamond"/>
        </w:rPr>
        <w:t xml:space="preserve"> </w:t>
      </w:r>
      <w:r w:rsidR="007D1F2A">
        <w:rPr>
          <w:rFonts w:ascii="Garamond" w:eastAsia="Garamond" w:hAnsi="Garamond" w:cs="Garamond"/>
        </w:rPr>
        <w:t xml:space="preserve">of care </w:t>
      </w:r>
      <w:r w:rsidRPr="00993785">
        <w:rPr>
          <w:rFonts w:ascii="Garamond" w:eastAsia="Garamond" w:hAnsi="Garamond" w:cs="Garamond"/>
        </w:rPr>
        <w:t xml:space="preserve">are permissible, and found all of them lacking. </w:t>
      </w:r>
      <w:r w:rsidR="00407DB6" w:rsidRPr="00993785">
        <w:rPr>
          <w:rFonts w:ascii="Garamond" w:eastAsia="Garamond" w:hAnsi="Garamond" w:cs="Garamond"/>
        </w:rPr>
        <w:t>And so, we should endorse</w:t>
      </w:r>
      <w:r w:rsidR="005C70BF" w:rsidRPr="00993785">
        <w:rPr>
          <w:rFonts w:ascii="Garamond" w:eastAsia="Garamond" w:hAnsi="Garamond" w:cs="Garamond"/>
        </w:rPr>
        <w:t xml:space="preserve"> </w:t>
      </w:r>
      <w:r w:rsidRPr="00993785">
        <w:rPr>
          <w:rFonts w:ascii="Garamond" w:eastAsia="Garamond" w:hAnsi="Garamond" w:cs="Garamond"/>
          <w:smallCaps/>
        </w:rPr>
        <w:t xml:space="preserve">Permissible Advance </w:t>
      </w:r>
      <w:r w:rsidR="00843CB9" w:rsidRPr="00993785">
        <w:rPr>
          <w:rFonts w:ascii="Garamond" w:eastAsia="Garamond" w:hAnsi="Garamond" w:cs="Garamond"/>
          <w:smallCaps/>
        </w:rPr>
        <w:t>PAD</w:t>
      </w:r>
      <w:r w:rsidRPr="00993785">
        <w:rPr>
          <w:rFonts w:ascii="Garamond" w:eastAsia="Garamond" w:hAnsi="Garamond" w:cs="Garamond"/>
        </w:rPr>
        <w:t xml:space="preserve">. </w:t>
      </w:r>
    </w:p>
    <w:p w14:paraId="5BD5E52E" w14:textId="77777777" w:rsidR="00E91839" w:rsidRPr="00993785" w:rsidRDefault="00E91839" w:rsidP="00EA3155">
      <w:pPr>
        <w:jc w:val="both"/>
        <w:rPr>
          <w:rFonts w:ascii="Garamond" w:eastAsia="Times New Roman" w:hAnsi="Garamond" w:cs="Times New Roman"/>
        </w:rPr>
      </w:pPr>
    </w:p>
    <w:p w14:paraId="66DE35F2" w14:textId="5E4535E9" w:rsidR="00E91839" w:rsidRPr="00993785" w:rsidRDefault="00F73C3A" w:rsidP="00EA3155">
      <w:pPr>
        <w:jc w:val="both"/>
        <w:rPr>
          <w:rFonts w:ascii="Garamond" w:eastAsia="Times New Roman" w:hAnsi="Garamond" w:cs="Times New Roman"/>
        </w:rPr>
      </w:pPr>
      <w:r w:rsidRPr="00993785">
        <w:rPr>
          <w:rFonts w:ascii="Garamond" w:eastAsia="Garamond" w:hAnsi="Garamond" w:cs="Garamond"/>
          <w:b/>
          <w:color w:val="000000"/>
          <w:sz w:val="28"/>
          <w:szCs w:val="28"/>
        </w:rPr>
        <w:t xml:space="preserve"> </w:t>
      </w:r>
    </w:p>
    <w:p w14:paraId="75C86F76" w14:textId="62A06D9F" w:rsidR="00E91839" w:rsidRPr="00993785" w:rsidRDefault="000D2237" w:rsidP="00EA3155">
      <w:pPr>
        <w:spacing w:line="480" w:lineRule="auto"/>
        <w:jc w:val="both"/>
        <w:outlineLvl w:val="0"/>
        <w:rPr>
          <w:rFonts w:ascii="Garamond" w:eastAsia="Garamond" w:hAnsi="Garamond" w:cs="Garamond"/>
          <w:b/>
          <w:smallCaps/>
          <w:color w:val="000000"/>
          <w:sz w:val="28"/>
          <w:szCs w:val="28"/>
        </w:rPr>
      </w:pPr>
      <w:r w:rsidRPr="00993785">
        <w:rPr>
          <w:rFonts w:ascii="Garamond" w:eastAsia="Garamond" w:hAnsi="Garamond" w:cs="Garamond"/>
          <w:b/>
          <w:color w:val="000000"/>
          <w:sz w:val="28"/>
          <w:szCs w:val="28"/>
        </w:rPr>
        <w:t xml:space="preserve">Section 3: </w:t>
      </w:r>
      <w:r w:rsidR="005C70BF" w:rsidRPr="00993785">
        <w:rPr>
          <w:rFonts w:ascii="Garamond" w:eastAsia="Garamond" w:hAnsi="Garamond" w:cs="Garamond"/>
          <w:b/>
          <w:color w:val="000000"/>
          <w:sz w:val="28"/>
          <w:szCs w:val="28"/>
        </w:rPr>
        <w:t>Why</w:t>
      </w:r>
      <w:r w:rsidRPr="00993785">
        <w:rPr>
          <w:rFonts w:ascii="Garamond" w:eastAsia="Garamond" w:hAnsi="Garamond" w:cs="Garamond"/>
          <w:b/>
          <w:color w:val="000000"/>
          <w:sz w:val="28"/>
          <w:szCs w:val="28"/>
        </w:rPr>
        <w:t xml:space="preserve"> </w:t>
      </w:r>
      <w:r w:rsidR="00421EA6" w:rsidRPr="00993785">
        <w:rPr>
          <w:rFonts w:ascii="Garamond" w:eastAsia="Garamond" w:hAnsi="Garamond" w:cs="Garamond"/>
          <w:b/>
          <w:color w:val="000000"/>
          <w:sz w:val="28"/>
          <w:szCs w:val="28"/>
        </w:rPr>
        <w:t>Surrogate</w:t>
      </w:r>
      <w:r w:rsidR="00873B86" w:rsidRPr="00993785">
        <w:rPr>
          <w:rFonts w:ascii="Garamond" w:eastAsia="Garamond" w:hAnsi="Garamond" w:cs="Garamond"/>
          <w:b/>
          <w:color w:val="000000"/>
          <w:sz w:val="28"/>
          <w:szCs w:val="28"/>
        </w:rPr>
        <w:t>-Requested</w:t>
      </w:r>
      <w:r w:rsidR="00421EA6" w:rsidRPr="00993785">
        <w:rPr>
          <w:rFonts w:ascii="Garamond" w:eastAsia="Garamond" w:hAnsi="Garamond" w:cs="Garamond"/>
          <w:b/>
          <w:color w:val="000000"/>
          <w:sz w:val="28"/>
          <w:szCs w:val="28"/>
        </w:rPr>
        <w:t xml:space="preserve"> </w:t>
      </w:r>
      <w:r w:rsidR="00843CB9" w:rsidRPr="00993785">
        <w:rPr>
          <w:rFonts w:ascii="Garamond" w:eastAsia="Garamond" w:hAnsi="Garamond" w:cs="Garamond"/>
          <w:b/>
          <w:color w:val="000000"/>
          <w:sz w:val="28"/>
          <w:szCs w:val="28"/>
        </w:rPr>
        <w:t>PAD</w:t>
      </w:r>
      <w:r w:rsidR="005C70BF" w:rsidRPr="00993785">
        <w:rPr>
          <w:rFonts w:ascii="Garamond" w:eastAsia="Garamond" w:hAnsi="Garamond" w:cs="Garamond"/>
          <w:b/>
          <w:color w:val="000000"/>
          <w:sz w:val="28"/>
          <w:szCs w:val="28"/>
        </w:rPr>
        <w:t xml:space="preserve"> Is Permissible</w:t>
      </w:r>
    </w:p>
    <w:p w14:paraId="51785E88" w14:textId="3126E08E" w:rsidR="005152EB" w:rsidRPr="00993785" w:rsidRDefault="00873B86" w:rsidP="00EA3155">
      <w:pPr>
        <w:spacing w:line="480" w:lineRule="auto"/>
        <w:jc w:val="both"/>
        <w:rPr>
          <w:rFonts w:ascii="Garamond" w:eastAsia="Garamond" w:hAnsi="Garamond" w:cs="Garamond"/>
          <w:color w:val="000000"/>
        </w:rPr>
      </w:pPr>
      <w:r w:rsidRPr="00993785">
        <w:rPr>
          <w:rFonts w:ascii="Garamond" w:eastAsia="Garamond" w:hAnsi="Garamond" w:cs="Garamond"/>
        </w:rPr>
        <w:t>Let</w:t>
      </w:r>
      <w:r w:rsidR="005437AD">
        <w:rPr>
          <w:rFonts w:ascii="Garamond" w:eastAsia="Garamond" w:hAnsi="Garamond" w:cs="Garamond"/>
        </w:rPr>
        <w:t xml:space="preserve"> u</w:t>
      </w:r>
      <w:r w:rsidRPr="00993785">
        <w:rPr>
          <w:rFonts w:ascii="Garamond" w:eastAsia="Garamond" w:hAnsi="Garamond" w:cs="Garamond"/>
        </w:rPr>
        <w:t>s now consider whether we can extend the practice further, by allowing surrogate decision</w:t>
      </w:r>
      <w:r w:rsidR="007D1F2A">
        <w:rPr>
          <w:rFonts w:ascii="Garamond" w:eastAsia="Garamond" w:hAnsi="Garamond" w:cs="Garamond"/>
        </w:rPr>
        <w:t xml:space="preserve"> </w:t>
      </w:r>
      <w:r w:rsidRPr="00993785">
        <w:rPr>
          <w:rFonts w:ascii="Garamond" w:eastAsia="Garamond" w:hAnsi="Garamond" w:cs="Garamond"/>
        </w:rPr>
        <w:t xml:space="preserve">makers to make PAD requests on behalf of incapacitated, terminally ill patients. </w:t>
      </w:r>
      <w:r w:rsidR="002E2C4A" w:rsidRPr="00993785">
        <w:rPr>
          <w:rFonts w:ascii="Garamond" w:eastAsia="Garamond" w:hAnsi="Garamond" w:cs="Garamond"/>
          <w:color w:val="000000"/>
        </w:rPr>
        <w:t>(‘</w:t>
      </w:r>
      <w:r w:rsidR="002E2C4A" w:rsidRPr="00993785">
        <w:rPr>
          <w:rFonts w:ascii="Garamond" w:eastAsia="Times New Roman" w:hAnsi="Garamond" w:cs="Times New Roman"/>
          <w:smallCaps/>
          <w:color w:val="000000"/>
          <w:lang w:eastAsia="nl-NL"/>
        </w:rPr>
        <w:t>Permissible Surrogate PAD</w:t>
      </w:r>
      <w:r w:rsidR="00EA3155" w:rsidRPr="00993785">
        <w:rPr>
          <w:rFonts w:ascii="Garamond" w:eastAsia="Garamond" w:hAnsi="Garamond" w:cs="Garamond"/>
          <w:color w:val="000000"/>
        </w:rPr>
        <w:t>’</w:t>
      </w:r>
      <w:r w:rsidR="002E2C4A" w:rsidRPr="00993785">
        <w:rPr>
          <w:rFonts w:ascii="Garamond" w:eastAsia="Garamond" w:hAnsi="Garamond" w:cs="Garamond"/>
          <w:color w:val="000000"/>
        </w:rPr>
        <w:t>)</w:t>
      </w:r>
      <w:r w:rsidR="005152EB" w:rsidRPr="00993785">
        <w:rPr>
          <w:rFonts w:ascii="Garamond" w:eastAsia="Garamond" w:hAnsi="Garamond" w:cs="Garamond"/>
          <w:color w:val="000000"/>
        </w:rPr>
        <w:t xml:space="preserve">. This practice is the more controversial of the two under consideration: it is only permitted (or rather, </w:t>
      </w:r>
      <w:r w:rsidR="009D6A46" w:rsidRPr="00993785">
        <w:rPr>
          <w:rFonts w:ascii="Garamond" w:eastAsia="Garamond" w:hAnsi="Garamond" w:cs="Garamond"/>
          <w:color w:val="000000"/>
        </w:rPr>
        <w:t>is not legally prosecuted</w:t>
      </w:r>
      <w:r w:rsidR="005152EB" w:rsidRPr="00993785">
        <w:rPr>
          <w:rFonts w:ascii="Garamond" w:eastAsia="Garamond" w:hAnsi="Garamond" w:cs="Garamond"/>
          <w:color w:val="000000"/>
        </w:rPr>
        <w:t xml:space="preserve">) in the Netherlands, and even then, the practice is restricted to terminally ill </w:t>
      </w:r>
      <w:proofErr w:type="gramStart"/>
      <w:r w:rsidR="00182EED" w:rsidRPr="00993785">
        <w:rPr>
          <w:rFonts w:ascii="Garamond" w:eastAsia="Garamond" w:hAnsi="Garamond" w:cs="Garamond"/>
          <w:color w:val="000000"/>
        </w:rPr>
        <w:t>infants</w:t>
      </w:r>
      <w:proofErr w:type="gramEnd"/>
      <w:r w:rsidR="005152EB" w:rsidRPr="00993785">
        <w:rPr>
          <w:rFonts w:ascii="Garamond" w:eastAsia="Garamond" w:hAnsi="Garamond" w:cs="Garamond"/>
          <w:color w:val="000000"/>
        </w:rPr>
        <w:t xml:space="preserve"> incapable of a</w:t>
      </w:r>
      <w:r w:rsidR="00182EED" w:rsidRPr="00993785">
        <w:rPr>
          <w:rFonts w:ascii="Garamond" w:eastAsia="Garamond" w:hAnsi="Garamond" w:cs="Garamond"/>
          <w:color w:val="000000"/>
        </w:rPr>
        <w:t>ssent or consent</w:t>
      </w:r>
      <w:r w:rsidR="005152EB" w:rsidRPr="00993785">
        <w:rPr>
          <w:rFonts w:ascii="Garamond" w:eastAsia="Garamond" w:hAnsi="Garamond" w:cs="Garamond"/>
          <w:color w:val="000000"/>
        </w:rPr>
        <w:t>.</w:t>
      </w:r>
      <w:r w:rsidR="005152EB" w:rsidRPr="00993785">
        <w:rPr>
          <w:rStyle w:val="FootnoteReference"/>
          <w:rFonts w:ascii="Garamond" w:eastAsia="Garamond" w:hAnsi="Garamond" w:cs="Garamond"/>
          <w:color w:val="000000"/>
        </w:rPr>
        <w:footnoteReference w:id="14"/>
      </w:r>
      <w:r w:rsidR="005152EB" w:rsidRPr="00993785">
        <w:rPr>
          <w:rFonts w:ascii="Garamond" w:eastAsia="Garamond" w:hAnsi="Garamond" w:cs="Garamond"/>
          <w:color w:val="000000"/>
        </w:rPr>
        <w:t xml:space="preserve"> Nevertheless, we think that surrogate-requested PAD is in</w:t>
      </w:r>
      <w:r w:rsidR="008F0617">
        <w:rPr>
          <w:rFonts w:ascii="Garamond" w:eastAsia="Garamond" w:hAnsi="Garamond" w:cs="Garamond"/>
          <w:color w:val="000000"/>
        </w:rPr>
        <w:t xml:space="preserve"> </w:t>
      </w:r>
      <w:r w:rsidR="005152EB" w:rsidRPr="00993785">
        <w:rPr>
          <w:rFonts w:ascii="Garamond" w:eastAsia="Garamond" w:hAnsi="Garamond" w:cs="Garamond"/>
          <w:color w:val="000000"/>
        </w:rPr>
        <w:t xml:space="preserve">principle permissible for reasons similar to the ones that we have offered in defense of advance directive-requested PAD. </w:t>
      </w:r>
      <w:r w:rsidR="005152EB" w:rsidRPr="00993785">
        <w:rPr>
          <w:rFonts w:ascii="Garamond" w:eastAsia="Garamond" w:hAnsi="Garamond" w:cs="Garamond"/>
          <w:color w:val="000000"/>
        </w:rPr>
        <w:tab/>
      </w:r>
    </w:p>
    <w:p w14:paraId="3BF6440F" w14:textId="686EA216" w:rsidR="005152EB" w:rsidRPr="00993785" w:rsidRDefault="005152EB" w:rsidP="00EA3155">
      <w:pPr>
        <w:spacing w:line="480" w:lineRule="auto"/>
        <w:ind w:firstLine="720"/>
        <w:jc w:val="both"/>
        <w:rPr>
          <w:rFonts w:ascii="Garamond" w:eastAsia="Times New Roman" w:hAnsi="Garamond" w:cs="Times New Roman"/>
        </w:rPr>
      </w:pPr>
      <w:r w:rsidRPr="00993785">
        <w:rPr>
          <w:rFonts w:ascii="Garamond" w:eastAsia="Times New Roman" w:hAnsi="Garamond" w:cs="Times New Roman"/>
        </w:rPr>
        <w:t xml:space="preserve">Our argument in this section will thus be structurally </w:t>
      </w:r>
      <w:r w:rsidR="00EA3155" w:rsidRPr="00993785">
        <w:rPr>
          <w:rFonts w:ascii="Garamond" w:eastAsia="Times New Roman" w:hAnsi="Garamond" w:cs="Times New Roman"/>
        </w:rPr>
        <w:t>analogous</w:t>
      </w:r>
      <w:r w:rsidRPr="00993785">
        <w:rPr>
          <w:rFonts w:ascii="Garamond" w:eastAsia="Times New Roman" w:hAnsi="Garamond" w:cs="Times New Roman"/>
        </w:rPr>
        <w:t xml:space="preserve"> to the one offered in Section 2. We</w:t>
      </w:r>
      <w:r w:rsidR="008F0617">
        <w:rPr>
          <w:rFonts w:ascii="Garamond" w:eastAsia="Times New Roman" w:hAnsi="Garamond" w:cs="Times New Roman"/>
        </w:rPr>
        <w:t xml:space="preserve"> wi</w:t>
      </w:r>
      <w:r w:rsidRPr="00993785">
        <w:rPr>
          <w:rFonts w:ascii="Garamond" w:eastAsia="Times New Roman" w:hAnsi="Garamond" w:cs="Times New Roman"/>
        </w:rPr>
        <w:t xml:space="preserve">ll first use a series of cases to </w:t>
      </w:r>
      <w:r w:rsidR="00EA3155" w:rsidRPr="00993785">
        <w:rPr>
          <w:rFonts w:ascii="Garamond" w:eastAsia="Times New Roman" w:hAnsi="Garamond" w:cs="Times New Roman"/>
        </w:rPr>
        <w:t>show</w:t>
      </w:r>
      <w:r w:rsidRPr="00993785">
        <w:rPr>
          <w:rFonts w:ascii="Garamond" w:eastAsia="Times New Roman" w:hAnsi="Garamond" w:cs="Times New Roman"/>
        </w:rPr>
        <w:t xml:space="preserve"> that accepting the permissibility of advance directive-requested PAD gives us reason to accept the permissibility of surrogate-requested PAD. From there, we</w:t>
      </w:r>
      <w:r w:rsidR="008F0617">
        <w:rPr>
          <w:rFonts w:ascii="Garamond" w:eastAsia="Times New Roman" w:hAnsi="Garamond" w:cs="Times New Roman"/>
        </w:rPr>
        <w:t xml:space="preserve"> wi</w:t>
      </w:r>
      <w:r w:rsidRPr="00993785">
        <w:rPr>
          <w:rFonts w:ascii="Garamond" w:eastAsia="Times New Roman" w:hAnsi="Garamond" w:cs="Times New Roman"/>
        </w:rPr>
        <w:t>ll consider whether there</w:t>
      </w:r>
      <w:r w:rsidR="008F0617">
        <w:rPr>
          <w:rFonts w:ascii="Garamond" w:eastAsia="Times New Roman" w:hAnsi="Garamond" w:cs="Times New Roman"/>
        </w:rPr>
        <w:t xml:space="preserve"> i</w:t>
      </w:r>
      <w:r w:rsidRPr="00993785">
        <w:rPr>
          <w:rFonts w:ascii="Garamond" w:eastAsia="Times New Roman" w:hAnsi="Garamond" w:cs="Times New Roman"/>
        </w:rPr>
        <w:t>s any way to disentangle the two practices, such that only the former ends up being permissible. We</w:t>
      </w:r>
      <w:r w:rsidR="008F0617">
        <w:rPr>
          <w:rFonts w:ascii="Garamond" w:eastAsia="Times New Roman" w:hAnsi="Garamond" w:cs="Times New Roman"/>
        </w:rPr>
        <w:t xml:space="preserve"> wi</w:t>
      </w:r>
      <w:r w:rsidRPr="00993785">
        <w:rPr>
          <w:rFonts w:ascii="Garamond" w:eastAsia="Times New Roman" w:hAnsi="Garamond" w:cs="Times New Roman"/>
        </w:rPr>
        <w:t>ll argue that none of the candidate distinctions stand up to scrutiny, either because they fall victim to the same objections raised against them in Section 2, or because they lead to the implausible conclusion that it is impermissible to grant withdrawal of care requests made by surrogate decision</w:t>
      </w:r>
      <w:r w:rsidR="008F0617">
        <w:rPr>
          <w:rFonts w:ascii="Garamond" w:eastAsia="Times New Roman" w:hAnsi="Garamond" w:cs="Times New Roman"/>
        </w:rPr>
        <w:t xml:space="preserve"> </w:t>
      </w:r>
      <w:r w:rsidRPr="00993785">
        <w:rPr>
          <w:rFonts w:ascii="Garamond" w:eastAsia="Times New Roman" w:hAnsi="Garamond" w:cs="Times New Roman"/>
        </w:rPr>
        <w:t xml:space="preserve">makers on behalf of terminally ill, mentally incapacitated patients. </w:t>
      </w:r>
    </w:p>
    <w:p w14:paraId="5DDA5328" w14:textId="1BB51E8B" w:rsidR="005152EB" w:rsidRPr="00993785" w:rsidRDefault="005152EB" w:rsidP="00EA3155">
      <w:pPr>
        <w:spacing w:line="480" w:lineRule="auto"/>
        <w:jc w:val="both"/>
        <w:rPr>
          <w:rFonts w:ascii="Garamond" w:eastAsia="Times New Roman" w:hAnsi="Garamond" w:cs="Times New Roman"/>
        </w:rPr>
      </w:pPr>
    </w:p>
    <w:p w14:paraId="0E617B63" w14:textId="34B5E4A6" w:rsidR="005152EB" w:rsidRPr="00993785" w:rsidRDefault="005152EB" w:rsidP="00EA3155">
      <w:pPr>
        <w:spacing w:line="480" w:lineRule="auto"/>
        <w:jc w:val="both"/>
        <w:rPr>
          <w:rFonts w:ascii="Garamond" w:eastAsia="Times New Roman" w:hAnsi="Garamond" w:cs="Times New Roman"/>
          <w:b/>
        </w:rPr>
      </w:pPr>
      <w:r w:rsidRPr="00993785">
        <w:rPr>
          <w:rFonts w:ascii="Garamond" w:eastAsia="Times New Roman" w:hAnsi="Garamond" w:cs="Times New Roman"/>
          <w:b/>
        </w:rPr>
        <w:t>3.1—The Argument</w:t>
      </w:r>
    </w:p>
    <w:p w14:paraId="4111751E" w14:textId="774D27D7" w:rsidR="005152EB" w:rsidRPr="00993785" w:rsidRDefault="005152EB" w:rsidP="00EA3155">
      <w:pPr>
        <w:spacing w:line="480" w:lineRule="auto"/>
        <w:jc w:val="both"/>
        <w:rPr>
          <w:rFonts w:ascii="Garamond" w:eastAsia="Times New Roman" w:hAnsi="Garamond" w:cs="Times New Roman"/>
        </w:rPr>
      </w:pPr>
      <w:r w:rsidRPr="00993785">
        <w:rPr>
          <w:rFonts w:ascii="Garamond" w:eastAsia="Times New Roman" w:hAnsi="Garamond" w:cs="Times New Roman"/>
        </w:rPr>
        <w:t xml:space="preserve">To </w:t>
      </w:r>
      <w:r w:rsidR="002E2C4A" w:rsidRPr="00993785">
        <w:rPr>
          <w:rFonts w:ascii="Garamond" w:eastAsia="Times New Roman" w:hAnsi="Garamond" w:cs="Times New Roman"/>
        </w:rPr>
        <w:t xml:space="preserve">begin to make the case for </w:t>
      </w:r>
      <w:r w:rsidR="002E2C4A" w:rsidRPr="00993785">
        <w:rPr>
          <w:rFonts w:ascii="Garamond" w:eastAsia="Times New Roman" w:hAnsi="Garamond" w:cs="Times New Roman"/>
          <w:smallCaps/>
          <w:color w:val="000000"/>
          <w:lang w:eastAsia="nl-NL"/>
        </w:rPr>
        <w:t>Permissible Surrogate PAD</w:t>
      </w:r>
      <w:r w:rsidR="002E2C4A" w:rsidRPr="00993785">
        <w:rPr>
          <w:rFonts w:ascii="Garamond" w:eastAsia="Times New Roman" w:hAnsi="Garamond" w:cs="Times New Roman"/>
        </w:rPr>
        <w:t>, let</w:t>
      </w:r>
      <w:r w:rsidR="005437AD">
        <w:rPr>
          <w:rFonts w:ascii="Garamond" w:eastAsia="Times New Roman" w:hAnsi="Garamond" w:cs="Times New Roman"/>
        </w:rPr>
        <w:t xml:space="preserve"> u</w:t>
      </w:r>
      <w:r w:rsidR="002E2C4A" w:rsidRPr="00993785">
        <w:rPr>
          <w:rFonts w:ascii="Garamond" w:eastAsia="Times New Roman" w:hAnsi="Garamond" w:cs="Times New Roman"/>
        </w:rPr>
        <w:t xml:space="preserve">s first return to </w:t>
      </w:r>
      <w:r w:rsidR="00E25837" w:rsidRPr="00993785">
        <w:rPr>
          <w:rFonts w:ascii="Garamond" w:eastAsia="Times New Roman" w:hAnsi="Garamond" w:cs="Times New Roman"/>
        </w:rPr>
        <w:t>Clara</w:t>
      </w:r>
      <w:r w:rsidR="002E2C4A" w:rsidRPr="00993785">
        <w:rPr>
          <w:rFonts w:ascii="Garamond" w:eastAsia="Times New Roman" w:hAnsi="Garamond" w:cs="Times New Roman"/>
        </w:rPr>
        <w:t xml:space="preserve">. Recall that </w:t>
      </w:r>
      <w:r w:rsidR="00E25837" w:rsidRPr="00993785">
        <w:rPr>
          <w:rFonts w:ascii="Garamond" w:eastAsia="Times New Roman" w:hAnsi="Garamond" w:cs="Times New Roman"/>
        </w:rPr>
        <w:t xml:space="preserve">Clara </w:t>
      </w:r>
      <w:r w:rsidR="002E2C4A" w:rsidRPr="00993785">
        <w:rPr>
          <w:rFonts w:ascii="Garamond" w:eastAsia="Times New Roman" w:hAnsi="Garamond" w:cs="Times New Roman"/>
        </w:rPr>
        <w:t xml:space="preserve">had previously outlined in an advance directive what end of life care she wanted. And yet, no matter how precisely this directive was formulated, </w:t>
      </w:r>
      <w:r w:rsidR="00E25837" w:rsidRPr="00993785">
        <w:rPr>
          <w:rFonts w:ascii="Garamond" w:eastAsia="Times New Roman" w:hAnsi="Garamond" w:cs="Times New Roman"/>
        </w:rPr>
        <w:t xml:space="preserve">Clara’s </w:t>
      </w:r>
      <w:r w:rsidR="002E2C4A" w:rsidRPr="00993785">
        <w:rPr>
          <w:rFonts w:ascii="Garamond" w:eastAsia="Times New Roman" w:hAnsi="Garamond" w:cs="Times New Roman"/>
        </w:rPr>
        <w:t xml:space="preserve">doctors will still have some discretionary power in executing it. More specifically, they will have to decide when the conditions outlined in it are met—does </w:t>
      </w:r>
      <w:r w:rsidR="00E25837" w:rsidRPr="00993785">
        <w:rPr>
          <w:rFonts w:ascii="Garamond" w:eastAsia="Times New Roman" w:hAnsi="Garamond" w:cs="Times New Roman"/>
        </w:rPr>
        <w:t xml:space="preserve">Clara </w:t>
      </w:r>
      <w:r w:rsidR="002E2C4A" w:rsidRPr="00993785">
        <w:rPr>
          <w:rFonts w:ascii="Garamond" w:eastAsia="Times New Roman" w:hAnsi="Garamond" w:cs="Times New Roman"/>
        </w:rPr>
        <w:t xml:space="preserve">presently have a reasonable quality of life? And if there is a chance of improvement, does it qualify as a ‘significant chance’? Even though </w:t>
      </w:r>
      <w:r w:rsidR="00E25837" w:rsidRPr="00993785">
        <w:rPr>
          <w:rFonts w:ascii="Garamond" w:eastAsia="Times New Roman" w:hAnsi="Garamond" w:cs="Times New Roman"/>
        </w:rPr>
        <w:t xml:space="preserve">Clara’s </w:t>
      </w:r>
      <w:r w:rsidR="002E2C4A" w:rsidRPr="00993785">
        <w:rPr>
          <w:rFonts w:ascii="Garamond" w:eastAsia="Times New Roman" w:hAnsi="Garamond" w:cs="Times New Roman"/>
        </w:rPr>
        <w:t xml:space="preserve">doctors will have to make some judgment calls about her advance directive, the decision about whether to seek PAD at the end of life remains </w:t>
      </w:r>
      <w:r w:rsidR="002E2C4A" w:rsidRPr="00993785">
        <w:rPr>
          <w:rFonts w:ascii="Garamond" w:eastAsia="Times New Roman" w:hAnsi="Garamond" w:cs="Times New Roman"/>
          <w:i/>
        </w:rPr>
        <w:t>hers</w:t>
      </w:r>
      <w:r w:rsidR="002E2C4A" w:rsidRPr="00993785">
        <w:rPr>
          <w:rFonts w:ascii="Garamond" w:eastAsia="Times New Roman" w:hAnsi="Garamond" w:cs="Times New Roman"/>
        </w:rPr>
        <w:t xml:space="preserve">. What licenses her doctors to use their discretion, after all, is the fact that she has given them the power to interpret her advance directive. </w:t>
      </w:r>
    </w:p>
    <w:p w14:paraId="1755FB56" w14:textId="08D3074D" w:rsidR="002E2C4A" w:rsidRPr="00993785" w:rsidRDefault="002E2C4A" w:rsidP="00EA3155">
      <w:pPr>
        <w:pStyle w:val="NormalWeb"/>
        <w:spacing w:before="0" w:beforeAutospacing="0" w:after="0" w:afterAutospacing="0" w:line="480" w:lineRule="auto"/>
        <w:jc w:val="both"/>
        <w:rPr>
          <w:rFonts w:ascii="Garamond" w:hAnsi="Garamond"/>
          <w:lang w:val="en-US"/>
        </w:rPr>
      </w:pPr>
      <w:r w:rsidRPr="00993785">
        <w:rPr>
          <w:rFonts w:ascii="Garamond" w:hAnsi="Garamond"/>
          <w:lang w:val="en-US"/>
        </w:rPr>
        <w:tab/>
      </w:r>
      <w:r w:rsidRPr="00993785">
        <w:rPr>
          <w:rFonts w:ascii="Garamond" w:hAnsi="Garamond"/>
          <w:color w:val="000000"/>
          <w:lang w:val="en-US"/>
        </w:rPr>
        <w:t xml:space="preserve">This </w:t>
      </w:r>
      <w:r w:rsidR="0012736B" w:rsidRPr="00993785">
        <w:rPr>
          <w:rFonts w:ascii="Garamond" w:hAnsi="Garamond"/>
          <w:color w:val="000000"/>
          <w:lang w:val="en-US"/>
        </w:rPr>
        <w:t xml:space="preserve">result </w:t>
      </w:r>
      <w:r w:rsidRPr="00993785">
        <w:rPr>
          <w:rFonts w:ascii="Garamond" w:hAnsi="Garamond"/>
          <w:color w:val="000000"/>
          <w:lang w:val="en-US"/>
        </w:rPr>
        <w:t xml:space="preserve">matters because it shows that the mere presence of another party in the decision-making process is not sufficient to render it impermissible to grant a PAD request made via an advance directive. And we think that nothing changes once the other party ceases to be a medical professional. Consider </w:t>
      </w:r>
      <w:r w:rsidR="00963870" w:rsidRPr="00993785">
        <w:rPr>
          <w:rFonts w:ascii="Garamond" w:hAnsi="Garamond"/>
          <w:color w:val="000000"/>
          <w:lang w:val="en-US"/>
        </w:rPr>
        <w:t>Ezra</w:t>
      </w:r>
      <w:r w:rsidRPr="00993785">
        <w:rPr>
          <w:rFonts w:ascii="Garamond" w:hAnsi="Garamond"/>
          <w:color w:val="000000"/>
          <w:lang w:val="en-US"/>
        </w:rPr>
        <w:t>: </w:t>
      </w:r>
    </w:p>
    <w:p w14:paraId="5897C62B" w14:textId="7A908460" w:rsidR="002E2C4A" w:rsidRPr="00993785" w:rsidRDefault="00963870" w:rsidP="00EA3155">
      <w:pPr>
        <w:ind w:left="720"/>
        <w:jc w:val="both"/>
        <w:rPr>
          <w:rFonts w:ascii="Garamond" w:eastAsia="Times New Roman" w:hAnsi="Garamond" w:cs="Times New Roman"/>
          <w:lang w:eastAsia="nl-NL"/>
        </w:rPr>
      </w:pPr>
      <w:r w:rsidRPr="00993785">
        <w:rPr>
          <w:rFonts w:ascii="Garamond" w:eastAsia="Times New Roman" w:hAnsi="Garamond" w:cs="Times New Roman"/>
          <w:b/>
          <w:bCs/>
          <w:smallCaps/>
          <w:color w:val="000000"/>
          <w:lang w:eastAsia="nl-NL"/>
        </w:rPr>
        <w:t>Ezra</w:t>
      </w:r>
      <w:r w:rsidR="002E2C4A" w:rsidRPr="00993785">
        <w:rPr>
          <w:rFonts w:ascii="Garamond" w:eastAsia="Times New Roman" w:hAnsi="Garamond" w:cs="Times New Roman"/>
          <w:b/>
          <w:bCs/>
          <w:color w:val="000000"/>
          <w:lang w:eastAsia="nl-NL"/>
        </w:rPr>
        <w:t>:</w:t>
      </w:r>
      <w:r w:rsidR="002E2C4A" w:rsidRPr="00993785">
        <w:rPr>
          <w:rFonts w:ascii="Garamond" w:eastAsia="Times New Roman" w:hAnsi="Garamond" w:cs="Times New Roman"/>
          <w:color w:val="000000"/>
          <w:lang w:eastAsia="nl-NL"/>
        </w:rPr>
        <w:t xml:space="preserve"> Shortly after being diagnosed with terminal cancer, </w:t>
      </w:r>
      <w:r w:rsidRPr="00993785">
        <w:rPr>
          <w:rFonts w:ascii="Garamond" w:eastAsia="Times New Roman" w:hAnsi="Garamond" w:cs="Times New Roman"/>
          <w:color w:val="000000"/>
          <w:lang w:eastAsia="nl-NL"/>
        </w:rPr>
        <w:t>Ezra</w:t>
      </w:r>
      <w:r w:rsidR="002E2C4A" w:rsidRPr="00993785">
        <w:rPr>
          <w:rFonts w:ascii="Garamond" w:eastAsia="Times New Roman" w:hAnsi="Garamond" w:cs="Times New Roman"/>
          <w:color w:val="000000"/>
          <w:lang w:eastAsia="nl-NL"/>
        </w:rPr>
        <w:t xml:space="preserve"> signs an advance directive stipulating that he is to receive PAD if he ever ends up in an irreversible state of mental incapacitation that appears inconsistent with a reasonable quality of life. He also requests that his husband, </w:t>
      </w:r>
      <w:r w:rsidRPr="00993785">
        <w:rPr>
          <w:rFonts w:ascii="Garamond" w:eastAsia="Times New Roman" w:hAnsi="Garamond" w:cs="Times New Roman"/>
          <w:color w:val="000000"/>
          <w:lang w:eastAsia="nl-NL"/>
        </w:rPr>
        <w:t>Emmett</w:t>
      </w:r>
      <w:r w:rsidR="002E2C4A" w:rsidRPr="00993785">
        <w:rPr>
          <w:rFonts w:ascii="Garamond" w:eastAsia="Times New Roman" w:hAnsi="Garamond" w:cs="Times New Roman"/>
          <w:color w:val="000000"/>
          <w:lang w:eastAsia="nl-NL"/>
        </w:rPr>
        <w:t xml:space="preserve">, be the person to make the call about whether or not he was in such a state. Shortly after signing the directive, </w:t>
      </w:r>
      <w:r w:rsidRPr="00993785">
        <w:rPr>
          <w:rFonts w:ascii="Garamond" w:eastAsia="Times New Roman" w:hAnsi="Garamond" w:cs="Times New Roman"/>
          <w:color w:val="000000"/>
          <w:lang w:eastAsia="nl-NL"/>
        </w:rPr>
        <w:t>Ezra</w:t>
      </w:r>
      <w:r w:rsidR="002E2C4A" w:rsidRPr="00993785">
        <w:rPr>
          <w:rFonts w:ascii="Garamond" w:eastAsia="Times New Roman" w:hAnsi="Garamond" w:cs="Times New Roman"/>
          <w:color w:val="000000"/>
          <w:lang w:eastAsia="nl-NL"/>
        </w:rPr>
        <w:t xml:space="preserve"> suffers a serious stroke that leaves him irreversibly </w:t>
      </w:r>
      <w:r w:rsidR="00C92D6B">
        <w:rPr>
          <w:rFonts w:ascii="Garamond" w:eastAsia="Times New Roman" w:hAnsi="Garamond" w:cs="Times New Roman"/>
          <w:color w:val="000000"/>
          <w:lang w:eastAsia="nl-NL"/>
        </w:rPr>
        <w:t xml:space="preserve">and profoundly </w:t>
      </w:r>
      <w:r w:rsidR="002E2C4A" w:rsidRPr="00993785">
        <w:rPr>
          <w:rFonts w:ascii="Garamond" w:eastAsia="Times New Roman" w:hAnsi="Garamond" w:cs="Times New Roman"/>
          <w:color w:val="000000"/>
          <w:lang w:eastAsia="nl-NL"/>
        </w:rPr>
        <w:t xml:space="preserve">mentally incapacitated and hooked up to machines. </w:t>
      </w:r>
      <w:r w:rsidRPr="00993785">
        <w:rPr>
          <w:rFonts w:ascii="Garamond" w:eastAsia="Times New Roman" w:hAnsi="Garamond" w:cs="Times New Roman"/>
          <w:color w:val="000000"/>
          <w:lang w:eastAsia="nl-NL"/>
        </w:rPr>
        <w:t>Emmett</w:t>
      </w:r>
      <w:r w:rsidR="002E2C4A" w:rsidRPr="00993785">
        <w:rPr>
          <w:rFonts w:ascii="Garamond" w:eastAsia="Times New Roman" w:hAnsi="Garamond" w:cs="Times New Roman"/>
          <w:color w:val="000000"/>
          <w:lang w:eastAsia="nl-NL"/>
        </w:rPr>
        <w:t xml:space="preserve"> determines that </w:t>
      </w:r>
      <w:r w:rsidRPr="00993785">
        <w:rPr>
          <w:rFonts w:ascii="Garamond" w:eastAsia="Times New Roman" w:hAnsi="Garamond" w:cs="Times New Roman"/>
          <w:color w:val="000000"/>
          <w:lang w:eastAsia="nl-NL"/>
        </w:rPr>
        <w:t>Ezra’s</w:t>
      </w:r>
      <w:r w:rsidR="002E2C4A" w:rsidRPr="00993785">
        <w:rPr>
          <w:rFonts w:ascii="Garamond" w:eastAsia="Times New Roman" w:hAnsi="Garamond" w:cs="Times New Roman"/>
          <w:color w:val="000000"/>
          <w:lang w:eastAsia="nl-NL"/>
        </w:rPr>
        <w:t xml:space="preserve"> quality of life is low enough to warrant PAD. As such, </w:t>
      </w:r>
      <w:r w:rsidRPr="00993785">
        <w:rPr>
          <w:rFonts w:ascii="Garamond" w:eastAsia="Times New Roman" w:hAnsi="Garamond" w:cs="Times New Roman"/>
          <w:color w:val="000000"/>
          <w:lang w:eastAsia="nl-NL"/>
        </w:rPr>
        <w:t>Emmett</w:t>
      </w:r>
      <w:r w:rsidR="002E2C4A" w:rsidRPr="00993785">
        <w:rPr>
          <w:rFonts w:ascii="Garamond" w:eastAsia="Times New Roman" w:hAnsi="Garamond" w:cs="Times New Roman"/>
          <w:color w:val="000000"/>
          <w:lang w:eastAsia="nl-NL"/>
        </w:rPr>
        <w:t xml:space="preserve"> requests this aid, and </w:t>
      </w:r>
      <w:r w:rsidRPr="00993785">
        <w:rPr>
          <w:rFonts w:ascii="Garamond" w:eastAsia="Times New Roman" w:hAnsi="Garamond" w:cs="Times New Roman"/>
          <w:color w:val="000000"/>
          <w:lang w:eastAsia="nl-NL"/>
        </w:rPr>
        <w:t>Ezra</w:t>
      </w:r>
      <w:r w:rsidR="002E2C4A" w:rsidRPr="00993785">
        <w:rPr>
          <w:rFonts w:ascii="Garamond" w:eastAsia="Times New Roman" w:hAnsi="Garamond" w:cs="Times New Roman"/>
          <w:color w:val="000000"/>
          <w:lang w:eastAsia="nl-NL"/>
        </w:rPr>
        <w:t xml:space="preserve"> dies. </w:t>
      </w:r>
    </w:p>
    <w:p w14:paraId="519A34BD" w14:textId="77777777" w:rsidR="002E2C4A" w:rsidRPr="00993785" w:rsidRDefault="002E2C4A" w:rsidP="00EA3155">
      <w:pPr>
        <w:jc w:val="both"/>
        <w:rPr>
          <w:rFonts w:ascii="Garamond" w:eastAsia="Times New Roman" w:hAnsi="Garamond" w:cs="Times New Roman"/>
          <w:lang w:eastAsia="nl-NL"/>
        </w:rPr>
      </w:pPr>
    </w:p>
    <w:p w14:paraId="23E61DB0" w14:textId="782B7074" w:rsidR="002E2C4A" w:rsidRPr="00993785" w:rsidRDefault="002E2C4A" w:rsidP="00EA3155">
      <w:pPr>
        <w:spacing w:line="480" w:lineRule="auto"/>
        <w:jc w:val="both"/>
        <w:rPr>
          <w:rFonts w:ascii="Garamond" w:eastAsia="Times New Roman" w:hAnsi="Garamond" w:cs="Times New Roman"/>
          <w:lang w:eastAsia="nl-NL"/>
        </w:rPr>
      </w:pPr>
      <w:r w:rsidRPr="00993785">
        <w:rPr>
          <w:rFonts w:ascii="Garamond" w:eastAsia="Times New Roman" w:hAnsi="Garamond" w:cs="Times New Roman"/>
          <w:color w:val="000000"/>
          <w:lang w:eastAsia="nl-NL"/>
        </w:rPr>
        <w:t xml:space="preserve">That </w:t>
      </w:r>
      <w:r w:rsidR="00963870" w:rsidRPr="00993785">
        <w:rPr>
          <w:rFonts w:ascii="Garamond" w:eastAsia="Times New Roman" w:hAnsi="Garamond" w:cs="Times New Roman"/>
          <w:color w:val="000000"/>
          <w:lang w:eastAsia="nl-NL"/>
        </w:rPr>
        <w:t>Emmett</w:t>
      </w:r>
      <w:r w:rsidRPr="00993785">
        <w:rPr>
          <w:rFonts w:ascii="Garamond" w:eastAsia="Times New Roman" w:hAnsi="Garamond" w:cs="Times New Roman"/>
          <w:color w:val="000000"/>
          <w:lang w:eastAsia="nl-NL"/>
        </w:rPr>
        <w:t xml:space="preserve"> is </w:t>
      </w:r>
      <w:r w:rsidR="00963870" w:rsidRPr="00993785">
        <w:rPr>
          <w:rFonts w:ascii="Garamond" w:eastAsia="Times New Roman" w:hAnsi="Garamond" w:cs="Times New Roman"/>
          <w:color w:val="000000"/>
          <w:lang w:eastAsia="nl-NL"/>
        </w:rPr>
        <w:t>Ezra’s</w:t>
      </w:r>
      <w:r w:rsidRPr="00993785">
        <w:rPr>
          <w:rFonts w:ascii="Garamond" w:eastAsia="Times New Roman" w:hAnsi="Garamond" w:cs="Times New Roman"/>
          <w:color w:val="000000"/>
          <w:lang w:eastAsia="nl-NL"/>
        </w:rPr>
        <w:t xml:space="preserve"> husband, rather than his doctor, does not make a difference to the standing he has (or ought to have) to request medical aid in dying on </w:t>
      </w:r>
      <w:r w:rsidR="00963870" w:rsidRPr="00993785">
        <w:rPr>
          <w:rFonts w:ascii="Garamond" w:eastAsia="Times New Roman" w:hAnsi="Garamond" w:cs="Times New Roman"/>
          <w:color w:val="000000"/>
          <w:lang w:eastAsia="nl-NL"/>
        </w:rPr>
        <w:t>Ezra’s</w:t>
      </w:r>
      <w:r w:rsidRPr="00993785">
        <w:rPr>
          <w:rFonts w:ascii="Garamond" w:eastAsia="Times New Roman" w:hAnsi="Garamond" w:cs="Times New Roman"/>
          <w:color w:val="000000"/>
          <w:lang w:eastAsia="nl-NL"/>
        </w:rPr>
        <w:t xml:space="preserve"> behalf. What makes his request authoritative is the simple fact that </w:t>
      </w:r>
      <w:r w:rsidR="00963870" w:rsidRPr="00993785">
        <w:rPr>
          <w:rFonts w:ascii="Garamond" w:eastAsia="Times New Roman" w:hAnsi="Garamond" w:cs="Times New Roman"/>
          <w:color w:val="000000"/>
          <w:lang w:eastAsia="nl-NL"/>
        </w:rPr>
        <w:t>Ezra</w:t>
      </w:r>
      <w:r w:rsidRPr="00993785">
        <w:rPr>
          <w:rFonts w:ascii="Garamond" w:eastAsia="Times New Roman" w:hAnsi="Garamond" w:cs="Times New Roman"/>
          <w:color w:val="000000"/>
          <w:lang w:eastAsia="nl-NL"/>
        </w:rPr>
        <w:t xml:space="preserve"> put him in a position to make it. </w:t>
      </w:r>
    </w:p>
    <w:p w14:paraId="179300C5" w14:textId="65FE5AFD" w:rsidR="00963870" w:rsidRPr="00993785" w:rsidRDefault="002E2C4A" w:rsidP="00EA3155">
      <w:pPr>
        <w:spacing w:line="480" w:lineRule="auto"/>
        <w:jc w:val="both"/>
        <w:rPr>
          <w:rFonts w:ascii="Garamond" w:eastAsia="EB Garamond" w:hAnsi="Garamond" w:cs="EB Garamond"/>
        </w:rPr>
      </w:pPr>
      <w:r w:rsidRPr="00993785">
        <w:rPr>
          <w:rFonts w:ascii="Garamond" w:eastAsia="Times New Roman" w:hAnsi="Garamond" w:cs="Times New Roman"/>
          <w:lang w:eastAsia="nl-NL"/>
        </w:rPr>
        <w:t xml:space="preserve"> </w:t>
      </w:r>
      <w:r w:rsidR="00963870" w:rsidRPr="00993785">
        <w:rPr>
          <w:rFonts w:ascii="Garamond" w:eastAsia="Times New Roman" w:hAnsi="Garamond" w:cs="Times New Roman"/>
          <w:lang w:eastAsia="nl-NL"/>
        </w:rPr>
        <w:tab/>
      </w:r>
      <w:r w:rsidR="00963870" w:rsidRPr="00993785">
        <w:rPr>
          <w:rFonts w:ascii="Garamond" w:eastAsia="EB Garamond" w:hAnsi="Garamond" w:cs="EB Garamond"/>
        </w:rPr>
        <w:t>Ezra’s case, to be sure, is one involving an advance directive with clear instructions about PAD. This might give one the nagging feeling that what</w:t>
      </w:r>
      <w:r w:rsidR="008F0617">
        <w:rPr>
          <w:rFonts w:ascii="Garamond" w:eastAsia="EB Garamond" w:hAnsi="Garamond" w:cs="EB Garamond"/>
        </w:rPr>
        <w:t xml:space="preserve"> i</w:t>
      </w:r>
      <w:r w:rsidR="00963870" w:rsidRPr="00993785">
        <w:rPr>
          <w:rFonts w:ascii="Garamond" w:eastAsia="EB Garamond" w:hAnsi="Garamond" w:cs="EB Garamond"/>
        </w:rPr>
        <w:t xml:space="preserve">s doing the work to make </w:t>
      </w:r>
      <w:r w:rsidR="002564D0" w:rsidRPr="00993785">
        <w:rPr>
          <w:rFonts w:ascii="Garamond" w:eastAsia="EB Garamond" w:hAnsi="Garamond" w:cs="EB Garamond"/>
        </w:rPr>
        <w:t>Emmett’s</w:t>
      </w:r>
      <w:r w:rsidR="00963870" w:rsidRPr="00993785">
        <w:rPr>
          <w:rFonts w:ascii="Garamond" w:eastAsia="EB Garamond" w:hAnsi="Garamond" w:cs="EB Garamond"/>
        </w:rPr>
        <w:t xml:space="preserve"> PAD </w:t>
      </w:r>
      <w:r w:rsidR="00963870" w:rsidRPr="00993785">
        <w:rPr>
          <w:rFonts w:ascii="Garamond" w:eastAsia="EB Garamond" w:hAnsi="Garamond" w:cs="EB Garamond"/>
        </w:rPr>
        <w:lastRenderedPageBreak/>
        <w:t xml:space="preserve">request legitimate is ultimately the presence of the explicit request for PAD in </w:t>
      </w:r>
      <w:r w:rsidR="002564D0" w:rsidRPr="00993785">
        <w:rPr>
          <w:rFonts w:ascii="Garamond" w:eastAsia="EB Garamond" w:hAnsi="Garamond" w:cs="EB Garamond"/>
        </w:rPr>
        <w:t>Ezra’s</w:t>
      </w:r>
      <w:r w:rsidR="00963870" w:rsidRPr="00993785">
        <w:rPr>
          <w:rFonts w:ascii="Garamond" w:eastAsia="EB Garamond" w:hAnsi="Garamond" w:cs="EB Garamond"/>
        </w:rPr>
        <w:t xml:space="preserve"> advance directive. But we think </w:t>
      </w:r>
      <w:r w:rsidR="008F0617">
        <w:rPr>
          <w:rFonts w:ascii="Garamond" w:eastAsia="EB Garamond" w:hAnsi="Garamond" w:cs="EB Garamond"/>
        </w:rPr>
        <w:t xml:space="preserve">that </w:t>
      </w:r>
      <w:r w:rsidR="00963870" w:rsidRPr="00993785">
        <w:rPr>
          <w:rFonts w:ascii="Garamond" w:eastAsia="EB Garamond" w:hAnsi="Garamond" w:cs="EB Garamond"/>
        </w:rPr>
        <w:t xml:space="preserve">we can preserve this permissibility even in cases that do not involve explicit PAD requests. Consider Francis: </w:t>
      </w:r>
    </w:p>
    <w:p w14:paraId="7D913824" w14:textId="2CEF85BA" w:rsidR="00963870" w:rsidRPr="00993785" w:rsidRDefault="00963870" w:rsidP="00EA3155">
      <w:pPr>
        <w:ind w:left="720"/>
        <w:jc w:val="both"/>
        <w:rPr>
          <w:rFonts w:ascii="Garamond" w:eastAsia="EB Garamond" w:hAnsi="Garamond" w:cs="EB Garamond"/>
        </w:rPr>
      </w:pPr>
      <w:r w:rsidRPr="00993785">
        <w:rPr>
          <w:rFonts w:ascii="Garamond" w:eastAsia="EB Garamond" w:hAnsi="Garamond" w:cs="EB Garamond"/>
          <w:b/>
          <w:smallCaps/>
        </w:rPr>
        <w:t>Francis</w:t>
      </w:r>
      <w:r w:rsidRPr="00993785">
        <w:rPr>
          <w:rFonts w:ascii="Garamond" w:eastAsia="EB Garamond" w:hAnsi="Garamond" w:cs="EB Garamond"/>
          <w:b/>
        </w:rPr>
        <w:t>:</w:t>
      </w:r>
      <w:r w:rsidRPr="00993785">
        <w:rPr>
          <w:rFonts w:ascii="Garamond" w:eastAsia="EB Garamond" w:hAnsi="Garamond" w:cs="EB Garamond"/>
        </w:rPr>
        <w:t xml:space="preserve"> Like the last few patients, Francis opts to fill out an advance directive upon receiving a terminal cancer diagnosis. Unlike those other advance directives, however, Francis’s is intentionally vague. It stipulates that, if he is ever mentally incapacitated, his wife Fiona has the power to make all decisions involving his care, up to and including a decision </w:t>
      </w:r>
      <w:r w:rsidR="00072335" w:rsidRPr="00993785">
        <w:rPr>
          <w:rFonts w:ascii="Garamond" w:eastAsia="EB Garamond" w:hAnsi="Garamond" w:cs="EB Garamond"/>
        </w:rPr>
        <w:t xml:space="preserve">whether or not </w:t>
      </w:r>
      <w:r w:rsidRPr="00993785">
        <w:rPr>
          <w:rFonts w:ascii="Garamond" w:eastAsia="EB Garamond" w:hAnsi="Garamond" w:cs="EB Garamond"/>
        </w:rPr>
        <w:t>to request PAD. Soon after, Francis becomes mentally incapacitated due to a stroke, and Fiona decides to request aid in dying. He receives this aid, and dies soon after.</w:t>
      </w:r>
    </w:p>
    <w:p w14:paraId="4723AE38" w14:textId="77777777" w:rsidR="00963870" w:rsidRPr="00993785" w:rsidRDefault="00963870" w:rsidP="00EA3155">
      <w:pPr>
        <w:jc w:val="both"/>
        <w:rPr>
          <w:rFonts w:ascii="Garamond" w:eastAsia="EB Garamond" w:hAnsi="Garamond" w:cs="EB Garamond"/>
        </w:rPr>
      </w:pPr>
    </w:p>
    <w:p w14:paraId="3EDF7EF9" w14:textId="0DABF8C5" w:rsidR="00963870" w:rsidRPr="00993785" w:rsidRDefault="00963870" w:rsidP="00EA3155">
      <w:pPr>
        <w:spacing w:line="480" w:lineRule="auto"/>
        <w:jc w:val="both"/>
        <w:rPr>
          <w:rFonts w:ascii="Garamond" w:eastAsia="EB Garamond" w:hAnsi="Garamond" w:cs="EB Garamond"/>
        </w:rPr>
      </w:pPr>
      <w:r w:rsidRPr="00993785">
        <w:rPr>
          <w:rFonts w:ascii="Garamond" w:eastAsia="EB Garamond" w:hAnsi="Garamond" w:cs="EB Garamond"/>
        </w:rPr>
        <w:t xml:space="preserve">Francis does not lay out the conditions under which he would wish to receive PAD. Nonetheless, it is permissible for doctors to grant </w:t>
      </w:r>
      <w:r w:rsidR="00072335" w:rsidRPr="00993785">
        <w:rPr>
          <w:rFonts w:ascii="Garamond" w:eastAsia="EB Garamond" w:hAnsi="Garamond" w:cs="EB Garamond"/>
        </w:rPr>
        <w:t>Fiona’s</w:t>
      </w:r>
      <w:r w:rsidRPr="00993785">
        <w:rPr>
          <w:rFonts w:ascii="Garamond" w:eastAsia="EB Garamond" w:hAnsi="Garamond" w:cs="EB Garamond"/>
        </w:rPr>
        <w:t xml:space="preserve"> request for PAD. As in the previous two cases, the surrogate acts as an ‘extension’ of the patient’s will. The only difference is that Francis </w:t>
      </w:r>
      <w:r w:rsidR="00910CAA" w:rsidRPr="00993785">
        <w:rPr>
          <w:rFonts w:ascii="Garamond" w:eastAsia="EB Garamond" w:hAnsi="Garamond" w:cs="EB Garamond"/>
        </w:rPr>
        <w:t>has entrusted Fiona with the power to</w:t>
      </w:r>
      <w:r w:rsidRPr="00993785">
        <w:rPr>
          <w:rFonts w:ascii="Garamond" w:eastAsia="EB Garamond" w:hAnsi="Garamond" w:cs="EB Garamond"/>
        </w:rPr>
        <w:t xml:space="preserve"> decide </w:t>
      </w:r>
      <w:r w:rsidRPr="00993785">
        <w:rPr>
          <w:rFonts w:ascii="Garamond" w:eastAsia="EB Garamond" w:hAnsi="Garamond" w:cs="EB Garamond"/>
          <w:i/>
        </w:rPr>
        <w:t>whether</w:t>
      </w:r>
      <w:r w:rsidRPr="00993785">
        <w:rPr>
          <w:rFonts w:ascii="Garamond" w:eastAsia="EB Garamond" w:hAnsi="Garamond" w:cs="EB Garamond"/>
        </w:rPr>
        <w:t xml:space="preserve"> to request PAD</w:t>
      </w:r>
      <w:r w:rsidR="00910CAA" w:rsidRPr="00993785">
        <w:rPr>
          <w:rFonts w:ascii="Garamond" w:eastAsia="EB Garamond" w:hAnsi="Garamond" w:cs="EB Garamond"/>
        </w:rPr>
        <w:t xml:space="preserve"> on his behalf</w:t>
      </w:r>
      <w:r w:rsidR="00072335" w:rsidRPr="00993785">
        <w:rPr>
          <w:rFonts w:ascii="Garamond" w:eastAsia="EB Garamond" w:hAnsi="Garamond" w:cs="EB Garamond"/>
        </w:rPr>
        <w:t xml:space="preserve">, and not simply when to request it. </w:t>
      </w:r>
    </w:p>
    <w:p w14:paraId="1F16EE20" w14:textId="69F58DB9" w:rsidR="00963870" w:rsidRPr="00993785" w:rsidRDefault="00072335" w:rsidP="00EA3155">
      <w:pPr>
        <w:spacing w:line="480" w:lineRule="auto"/>
        <w:ind w:firstLine="720"/>
        <w:jc w:val="both"/>
        <w:rPr>
          <w:rFonts w:ascii="Garamond" w:eastAsia="EB Garamond" w:hAnsi="Garamond" w:cs="EB Garamond"/>
        </w:rPr>
      </w:pPr>
      <w:r w:rsidRPr="00993785">
        <w:rPr>
          <w:rFonts w:ascii="Garamond" w:eastAsia="EB Garamond" w:hAnsi="Garamond" w:cs="EB Garamond"/>
        </w:rPr>
        <w:t>That Fiona has been tasked</w:t>
      </w:r>
      <w:r w:rsidR="00963870" w:rsidRPr="00993785">
        <w:rPr>
          <w:rFonts w:ascii="Garamond" w:eastAsia="EB Garamond" w:hAnsi="Garamond" w:cs="EB Garamond"/>
        </w:rPr>
        <w:t xml:space="preserve"> </w:t>
      </w:r>
      <w:r w:rsidRPr="00993785">
        <w:rPr>
          <w:rFonts w:ascii="Garamond" w:eastAsia="EB Garamond" w:hAnsi="Garamond" w:cs="EB Garamond"/>
        </w:rPr>
        <w:t xml:space="preserve">with a fairly open-ended decision should not be taken as proof that she is no longer acting </w:t>
      </w:r>
      <w:r w:rsidR="00963870" w:rsidRPr="00993785">
        <w:rPr>
          <w:rFonts w:ascii="Garamond" w:eastAsia="EB Garamond" w:hAnsi="Garamond" w:cs="EB Garamond"/>
        </w:rPr>
        <w:t xml:space="preserve">as an extension of </w:t>
      </w:r>
      <w:r w:rsidRPr="00993785">
        <w:rPr>
          <w:rFonts w:ascii="Garamond" w:eastAsia="EB Garamond" w:hAnsi="Garamond" w:cs="EB Garamond"/>
        </w:rPr>
        <w:t>Francis’s</w:t>
      </w:r>
      <w:r w:rsidR="00963870" w:rsidRPr="00993785">
        <w:rPr>
          <w:rFonts w:ascii="Garamond" w:eastAsia="EB Garamond" w:hAnsi="Garamond" w:cs="EB Garamond"/>
        </w:rPr>
        <w:t xml:space="preserve"> will. Perhaps Francis left his advance directive vague precisely because he knows how the peculiarities of clinical decisions are </w:t>
      </w:r>
      <w:r w:rsidR="00C92D6B">
        <w:rPr>
          <w:rFonts w:ascii="Garamond" w:eastAsia="EB Garamond" w:hAnsi="Garamond" w:cs="EB Garamond"/>
        </w:rPr>
        <w:t>hard</w:t>
      </w:r>
      <w:r w:rsidR="00C92D6B" w:rsidRPr="00993785">
        <w:rPr>
          <w:rFonts w:ascii="Garamond" w:eastAsia="EB Garamond" w:hAnsi="Garamond" w:cs="EB Garamond"/>
        </w:rPr>
        <w:t xml:space="preserve"> </w:t>
      </w:r>
      <w:r w:rsidR="00963870" w:rsidRPr="00993785">
        <w:rPr>
          <w:rFonts w:ascii="Garamond" w:eastAsia="EB Garamond" w:hAnsi="Garamond" w:cs="EB Garamond"/>
        </w:rPr>
        <w:t xml:space="preserve">to anticipate, rendering detailed advance directives difficult to apply at best and misleading at worst. Perhaps Francis simply trusted </w:t>
      </w:r>
      <w:r w:rsidRPr="00993785">
        <w:rPr>
          <w:rFonts w:ascii="Garamond" w:eastAsia="EB Garamond" w:hAnsi="Garamond" w:cs="EB Garamond"/>
        </w:rPr>
        <w:t>Fiona</w:t>
      </w:r>
      <w:r w:rsidR="00963870" w:rsidRPr="00993785">
        <w:rPr>
          <w:rFonts w:ascii="Garamond" w:eastAsia="EB Garamond" w:hAnsi="Garamond" w:cs="EB Garamond"/>
        </w:rPr>
        <w:t xml:space="preserve"> to make a better decision than he would himself. Or perhaps what mattered to Francis was not that the decision met some independent criteria, but that </w:t>
      </w:r>
      <w:r w:rsidRPr="00993785">
        <w:rPr>
          <w:rFonts w:ascii="Garamond" w:eastAsia="EB Garamond" w:hAnsi="Garamond" w:cs="EB Garamond"/>
        </w:rPr>
        <w:t>Fiona</w:t>
      </w:r>
      <w:r w:rsidR="00963870" w:rsidRPr="00993785">
        <w:rPr>
          <w:rFonts w:ascii="Garamond" w:eastAsia="EB Garamond" w:hAnsi="Garamond" w:cs="EB Garamond"/>
        </w:rPr>
        <w:t xml:space="preserve"> be the one to make it.</w:t>
      </w:r>
      <w:r w:rsidR="0034454D">
        <w:rPr>
          <w:rFonts w:ascii="Garamond" w:eastAsia="EB Garamond" w:hAnsi="Garamond" w:cs="EB Garamond"/>
        </w:rPr>
        <w:t xml:space="preserve"> </w:t>
      </w:r>
      <w:r w:rsidR="001A26FE">
        <w:rPr>
          <w:rFonts w:ascii="Garamond" w:eastAsia="EB Garamond" w:hAnsi="Garamond" w:cs="EB Garamond"/>
        </w:rPr>
        <w:t>His will, after all, was that his wife be in a position to make substantive decisions about his end of life care.</w:t>
      </w:r>
      <w:r w:rsidR="00963870" w:rsidRPr="00993785">
        <w:rPr>
          <w:rFonts w:ascii="Garamond" w:eastAsia="EB Garamond" w:hAnsi="Garamond" w:cs="EB Garamond"/>
        </w:rPr>
        <w:t xml:space="preserve"> </w:t>
      </w:r>
      <w:r w:rsidR="001A26FE">
        <w:rPr>
          <w:rFonts w:ascii="Garamond" w:eastAsia="EB Garamond" w:hAnsi="Garamond" w:cs="EB Garamond"/>
        </w:rPr>
        <w:t xml:space="preserve">And so, by respecting Fiona’s wishes, doctors would be respecting Francis. </w:t>
      </w:r>
    </w:p>
    <w:p w14:paraId="74F955B7" w14:textId="4526E687" w:rsidR="00963870" w:rsidRPr="00993785" w:rsidRDefault="004E48E0" w:rsidP="004E48E0">
      <w:pPr>
        <w:spacing w:line="480" w:lineRule="auto"/>
        <w:ind w:firstLine="720"/>
        <w:jc w:val="both"/>
        <w:rPr>
          <w:rFonts w:ascii="Garamond" w:eastAsia="EB Garamond" w:hAnsi="Garamond" w:cs="EB Garamond"/>
        </w:rPr>
      </w:pPr>
      <w:r w:rsidRPr="00993785">
        <w:rPr>
          <w:rFonts w:ascii="Garamond" w:eastAsia="EB Garamond" w:hAnsi="Garamond" w:cs="EB Garamond"/>
        </w:rPr>
        <w:t>In the last three cases, we</w:t>
      </w:r>
      <w:r w:rsidR="00963870" w:rsidRPr="00993785">
        <w:rPr>
          <w:rFonts w:ascii="Garamond" w:eastAsia="EB Garamond" w:hAnsi="Garamond" w:cs="EB Garamond"/>
        </w:rPr>
        <w:t xml:space="preserve"> have reason to respect the judgments of </w:t>
      </w:r>
      <w:r w:rsidRPr="00993785">
        <w:rPr>
          <w:rFonts w:ascii="Garamond" w:eastAsia="EB Garamond" w:hAnsi="Garamond" w:cs="EB Garamond"/>
        </w:rPr>
        <w:t>various surrogate decision</w:t>
      </w:r>
      <w:r w:rsidR="008F0617">
        <w:rPr>
          <w:rFonts w:ascii="Garamond" w:eastAsia="EB Garamond" w:hAnsi="Garamond" w:cs="EB Garamond"/>
        </w:rPr>
        <w:t xml:space="preserve"> </w:t>
      </w:r>
      <w:r w:rsidRPr="00993785">
        <w:rPr>
          <w:rFonts w:ascii="Garamond" w:eastAsia="EB Garamond" w:hAnsi="Garamond" w:cs="EB Garamond"/>
        </w:rPr>
        <w:t>makers</w:t>
      </w:r>
      <w:r w:rsidR="00963870" w:rsidRPr="00993785">
        <w:rPr>
          <w:rFonts w:ascii="Garamond" w:eastAsia="EB Garamond" w:hAnsi="Garamond" w:cs="EB Garamond"/>
        </w:rPr>
        <w:t xml:space="preserve"> precisely because we have reason to respect the judgments of </w:t>
      </w:r>
      <w:r w:rsidRPr="00993785">
        <w:rPr>
          <w:rFonts w:ascii="Garamond" w:eastAsia="EB Garamond" w:hAnsi="Garamond" w:cs="EB Garamond"/>
        </w:rPr>
        <w:t>the patients that they represent</w:t>
      </w:r>
      <w:r w:rsidR="00963870" w:rsidRPr="00993785">
        <w:rPr>
          <w:rFonts w:ascii="Garamond" w:eastAsia="EB Garamond" w:hAnsi="Garamond" w:cs="EB Garamond"/>
        </w:rPr>
        <w:t>. Let</w:t>
      </w:r>
      <w:r w:rsidR="005437AD">
        <w:rPr>
          <w:rFonts w:ascii="Garamond" w:eastAsia="EB Garamond" w:hAnsi="Garamond" w:cs="EB Garamond"/>
        </w:rPr>
        <w:t xml:space="preserve"> u</w:t>
      </w:r>
      <w:r w:rsidR="00963870" w:rsidRPr="00993785">
        <w:rPr>
          <w:rFonts w:ascii="Garamond" w:eastAsia="EB Garamond" w:hAnsi="Garamond" w:cs="EB Garamond"/>
        </w:rPr>
        <w:t>s take a closer look at how our reasons to respect patients’ judgments can give us further reasons to respect the judgments of surrogate decision</w:t>
      </w:r>
      <w:r w:rsidR="008F0617">
        <w:rPr>
          <w:rFonts w:ascii="Garamond" w:eastAsia="EB Garamond" w:hAnsi="Garamond" w:cs="EB Garamond"/>
        </w:rPr>
        <w:t xml:space="preserve"> </w:t>
      </w:r>
      <w:r w:rsidR="00963870" w:rsidRPr="00993785">
        <w:rPr>
          <w:rFonts w:ascii="Garamond" w:eastAsia="EB Garamond" w:hAnsi="Garamond" w:cs="EB Garamond"/>
        </w:rPr>
        <w:t xml:space="preserve">makers. Consider </w:t>
      </w:r>
      <w:r w:rsidR="001A096C" w:rsidRPr="00993785">
        <w:rPr>
          <w:rFonts w:ascii="Garamond" w:eastAsia="EB Garamond" w:hAnsi="Garamond" w:cs="EB Garamond"/>
        </w:rPr>
        <w:t xml:space="preserve">first </w:t>
      </w:r>
      <w:r w:rsidR="00963870" w:rsidRPr="00993785">
        <w:rPr>
          <w:rFonts w:ascii="Garamond" w:eastAsia="EB Garamond" w:hAnsi="Garamond" w:cs="EB Garamond"/>
        </w:rPr>
        <w:t xml:space="preserve">why </w:t>
      </w:r>
      <w:r w:rsidR="0083495D" w:rsidRPr="00993785">
        <w:rPr>
          <w:rFonts w:ascii="Garamond" w:eastAsia="EB Garamond" w:hAnsi="Garamond" w:cs="EB Garamond"/>
        </w:rPr>
        <w:t>Fiona</w:t>
      </w:r>
      <w:r w:rsidR="00963870" w:rsidRPr="00993785">
        <w:rPr>
          <w:rFonts w:ascii="Garamond" w:eastAsia="EB Garamond" w:hAnsi="Garamond" w:cs="EB Garamond"/>
        </w:rPr>
        <w:t xml:space="preserve"> is justified in making decisions </w:t>
      </w:r>
      <w:r w:rsidR="001A096C" w:rsidRPr="00993785">
        <w:rPr>
          <w:rFonts w:ascii="Garamond" w:eastAsia="EB Garamond" w:hAnsi="Garamond" w:cs="EB Garamond"/>
        </w:rPr>
        <w:t xml:space="preserve">about </w:t>
      </w:r>
      <w:r w:rsidR="0083495D" w:rsidRPr="00993785">
        <w:rPr>
          <w:rFonts w:ascii="Garamond" w:eastAsia="EB Garamond" w:hAnsi="Garamond" w:cs="EB Garamond"/>
        </w:rPr>
        <w:t>Francis’s end of life care</w:t>
      </w:r>
      <w:r w:rsidR="00963870" w:rsidRPr="00993785">
        <w:rPr>
          <w:rFonts w:ascii="Garamond" w:eastAsia="EB Garamond" w:hAnsi="Garamond" w:cs="EB Garamond"/>
        </w:rPr>
        <w:t xml:space="preserve">. </w:t>
      </w:r>
      <w:r w:rsidR="00963870" w:rsidRPr="00993785">
        <w:rPr>
          <w:rFonts w:ascii="Garamond" w:eastAsia="Times New Roman" w:hAnsi="Garamond" w:cs="Times New Roman"/>
        </w:rPr>
        <w:t xml:space="preserve">First, </w:t>
      </w:r>
      <w:r w:rsidR="0083495D" w:rsidRPr="00993785">
        <w:rPr>
          <w:rFonts w:ascii="Garamond" w:eastAsia="Times New Roman" w:hAnsi="Garamond" w:cs="Times New Roman"/>
        </w:rPr>
        <w:t>Francis</w:t>
      </w:r>
      <w:r w:rsidR="00963870" w:rsidRPr="00993785">
        <w:rPr>
          <w:rFonts w:ascii="Garamond" w:eastAsia="Times New Roman" w:hAnsi="Garamond" w:cs="Times New Roman"/>
        </w:rPr>
        <w:t xml:space="preserve"> </w:t>
      </w:r>
      <w:r w:rsidR="0083495D" w:rsidRPr="00993785">
        <w:rPr>
          <w:rFonts w:ascii="Garamond" w:eastAsia="Times New Roman" w:hAnsi="Garamond" w:cs="Times New Roman"/>
        </w:rPr>
        <w:t>appointed Fiona</w:t>
      </w:r>
      <w:r w:rsidR="00ED7104" w:rsidRPr="00993785">
        <w:rPr>
          <w:rFonts w:ascii="Garamond" w:eastAsia="Times New Roman" w:hAnsi="Garamond" w:cs="Times New Roman"/>
        </w:rPr>
        <w:t xml:space="preserve"> to serve as </w:t>
      </w:r>
      <w:r w:rsidR="0083495D" w:rsidRPr="00993785">
        <w:rPr>
          <w:rFonts w:ascii="Garamond" w:eastAsia="Times New Roman" w:hAnsi="Garamond" w:cs="Times New Roman"/>
        </w:rPr>
        <w:t xml:space="preserve">his </w:t>
      </w:r>
      <w:r w:rsidR="00ED7104" w:rsidRPr="00993785">
        <w:rPr>
          <w:rFonts w:ascii="Garamond" w:eastAsia="Times New Roman" w:hAnsi="Garamond" w:cs="Times New Roman"/>
        </w:rPr>
        <w:t>surrogate decision</w:t>
      </w:r>
      <w:r w:rsidR="008F0617">
        <w:rPr>
          <w:rFonts w:ascii="Garamond" w:eastAsia="Times New Roman" w:hAnsi="Garamond" w:cs="Times New Roman"/>
        </w:rPr>
        <w:t xml:space="preserve"> </w:t>
      </w:r>
      <w:r w:rsidR="00ED7104" w:rsidRPr="00993785">
        <w:rPr>
          <w:rFonts w:ascii="Garamond" w:eastAsia="Times New Roman" w:hAnsi="Garamond" w:cs="Times New Roman"/>
        </w:rPr>
        <w:t>maker</w:t>
      </w:r>
      <w:r w:rsidR="00963870" w:rsidRPr="00993785">
        <w:rPr>
          <w:rFonts w:ascii="Garamond" w:eastAsia="Times New Roman" w:hAnsi="Garamond" w:cs="Times New Roman"/>
        </w:rPr>
        <w:t xml:space="preserve">. Second, </w:t>
      </w:r>
      <w:r w:rsidR="0083495D" w:rsidRPr="00993785">
        <w:rPr>
          <w:rFonts w:ascii="Garamond" w:eastAsia="Times New Roman" w:hAnsi="Garamond" w:cs="Times New Roman"/>
        </w:rPr>
        <w:t>Fiona is likely especially well placed to serve in this capacity:</w:t>
      </w:r>
      <w:r w:rsidR="00963870" w:rsidRPr="00993785">
        <w:rPr>
          <w:rFonts w:ascii="Garamond" w:eastAsia="Times New Roman" w:hAnsi="Garamond" w:cs="Times New Roman"/>
        </w:rPr>
        <w:t xml:space="preserve"> </w:t>
      </w:r>
      <w:r w:rsidR="0083495D" w:rsidRPr="00993785">
        <w:rPr>
          <w:rFonts w:ascii="Garamond" w:eastAsia="Times New Roman" w:hAnsi="Garamond" w:cs="Times New Roman"/>
        </w:rPr>
        <w:t>the</w:t>
      </w:r>
      <w:r w:rsidR="00963870" w:rsidRPr="00993785">
        <w:rPr>
          <w:rFonts w:ascii="Garamond" w:eastAsia="Times New Roman" w:hAnsi="Garamond" w:cs="Times New Roman"/>
        </w:rPr>
        <w:t xml:space="preserve"> close </w:t>
      </w:r>
      <w:r w:rsidR="00963870" w:rsidRPr="00993785">
        <w:rPr>
          <w:rFonts w:ascii="Garamond" w:eastAsia="Times New Roman" w:hAnsi="Garamond" w:cs="Times New Roman"/>
        </w:rPr>
        <w:lastRenderedPageBreak/>
        <w:t xml:space="preserve">relationship that </w:t>
      </w:r>
      <w:r w:rsidR="0083495D" w:rsidRPr="00993785">
        <w:rPr>
          <w:rFonts w:ascii="Garamond" w:eastAsia="Times New Roman" w:hAnsi="Garamond" w:cs="Times New Roman"/>
        </w:rPr>
        <w:t>she and Francis</w:t>
      </w:r>
      <w:r w:rsidR="00963870" w:rsidRPr="00993785">
        <w:rPr>
          <w:rFonts w:ascii="Garamond" w:eastAsia="Times New Roman" w:hAnsi="Garamond" w:cs="Times New Roman"/>
        </w:rPr>
        <w:t xml:space="preserve"> share makes her well-placed to use ‘substituted judgment’ to make decisions that reflect his values and commitments.</w:t>
      </w:r>
      <w:r w:rsidR="00963870" w:rsidRPr="00993785">
        <w:rPr>
          <w:rFonts w:ascii="Garamond" w:eastAsia="Times New Roman" w:hAnsi="Garamond" w:cs="Times New Roman"/>
          <w:vertAlign w:val="superscript"/>
        </w:rPr>
        <w:footnoteReference w:id="15"/>
      </w:r>
    </w:p>
    <w:p w14:paraId="1C5A3735" w14:textId="48A28B5B" w:rsidR="00963870" w:rsidRPr="00993785" w:rsidRDefault="00963870" w:rsidP="00EA3155">
      <w:pPr>
        <w:spacing w:line="480" w:lineRule="auto"/>
        <w:jc w:val="both"/>
        <w:rPr>
          <w:rFonts w:ascii="Garamond" w:eastAsia="Times New Roman" w:hAnsi="Garamond" w:cs="Times New Roman"/>
        </w:rPr>
      </w:pPr>
      <w:r w:rsidRPr="00993785">
        <w:rPr>
          <w:rFonts w:ascii="Garamond" w:eastAsia="Times New Roman" w:hAnsi="Garamond" w:cs="Times New Roman"/>
        </w:rPr>
        <w:tab/>
        <w:t xml:space="preserve">One way to understand the reasons that we have to respect surrogate decision makers’ judgments is by making clear the relationship that those reasons have to patient autonomy. We can </w:t>
      </w:r>
      <w:r w:rsidR="00E25837" w:rsidRPr="00993785">
        <w:rPr>
          <w:rFonts w:ascii="Garamond" w:eastAsia="Times New Roman" w:hAnsi="Garamond" w:cs="Times New Roman"/>
        </w:rPr>
        <w:t xml:space="preserve">flesh </w:t>
      </w:r>
      <w:r w:rsidRPr="00993785">
        <w:rPr>
          <w:rFonts w:ascii="Garamond" w:eastAsia="Times New Roman" w:hAnsi="Garamond" w:cs="Times New Roman"/>
        </w:rPr>
        <w:t>out this relationship by appealing to a distinction that David Enoch has drawn between two different ways of respecting autonomy.</w:t>
      </w:r>
      <w:r w:rsidRPr="00993785">
        <w:rPr>
          <w:rFonts w:ascii="Garamond" w:eastAsia="Times New Roman" w:hAnsi="Garamond" w:cs="Times New Roman"/>
          <w:vertAlign w:val="superscript"/>
        </w:rPr>
        <w:footnoteReference w:id="16"/>
      </w:r>
      <w:r w:rsidRPr="00993785">
        <w:rPr>
          <w:rFonts w:ascii="Garamond" w:eastAsia="Times New Roman" w:hAnsi="Garamond" w:cs="Times New Roman"/>
        </w:rPr>
        <w:t xml:space="preserve"> First, we may respect an agent’s </w:t>
      </w:r>
      <w:r w:rsidRPr="000C0332">
        <w:rPr>
          <w:rFonts w:ascii="Garamond" w:eastAsia="Times New Roman" w:hAnsi="Garamond" w:cs="Times New Roman"/>
          <w:i/>
        </w:rPr>
        <w:t>sovereignty</w:t>
      </w:r>
      <w:r w:rsidRPr="00993785">
        <w:rPr>
          <w:rFonts w:ascii="Garamond" w:eastAsia="Times New Roman" w:hAnsi="Garamond" w:cs="Times New Roman"/>
        </w:rPr>
        <w:t xml:space="preserve">, which involves allowing them to make their own decisions about how to live. Second, we may respect an agent’s </w:t>
      </w:r>
      <w:r w:rsidRPr="000C0332">
        <w:rPr>
          <w:rFonts w:ascii="Garamond" w:eastAsia="Times New Roman" w:hAnsi="Garamond" w:cs="Times New Roman"/>
          <w:i/>
        </w:rPr>
        <w:t>nonalienation</w:t>
      </w:r>
      <w:r w:rsidRPr="00993785">
        <w:rPr>
          <w:rFonts w:ascii="Garamond" w:eastAsia="Times New Roman" w:hAnsi="Garamond" w:cs="Times New Roman"/>
        </w:rPr>
        <w:t>, which involves making the decisions for them that a suitably idealized version of themselves would choose, such that the decisions made reflect their deepest values and commitments rather than their superficial concerns.</w:t>
      </w:r>
    </w:p>
    <w:p w14:paraId="4C04AB1E" w14:textId="006699D2" w:rsidR="00963870" w:rsidRPr="00993785" w:rsidRDefault="00963870" w:rsidP="00EA3155">
      <w:pPr>
        <w:spacing w:line="480" w:lineRule="auto"/>
        <w:ind w:firstLine="720"/>
        <w:jc w:val="both"/>
        <w:rPr>
          <w:rFonts w:ascii="Garamond" w:eastAsia="Times New Roman" w:hAnsi="Garamond" w:cs="Times New Roman"/>
        </w:rPr>
      </w:pPr>
      <w:r w:rsidRPr="00993785">
        <w:rPr>
          <w:rFonts w:ascii="Garamond" w:eastAsia="Times New Roman" w:hAnsi="Garamond" w:cs="Times New Roman"/>
        </w:rPr>
        <w:t xml:space="preserve">When it comes to capacitated agents, sovereignty generally reigns supreme: we have reason to respect your decisions </w:t>
      </w:r>
      <w:r w:rsidRPr="00993785">
        <w:rPr>
          <w:rFonts w:ascii="Garamond" w:eastAsia="Times New Roman" w:hAnsi="Garamond" w:cs="Times New Roman"/>
          <w:i/>
        </w:rPr>
        <w:t xml:space="preserve">even when </w:t>
      </w:r>
      <w:r w:rsidR="00A43FD1">
        <w:rPr>
          <w:rFonts w:ascii="Garamond" w:eastAsia="Times New Roman" w:hAnsi="Garamond" w:cs="Times New Roman"/>
        </w:rPr>
        <w:t>they do</w:t>
      </w:r>
      <w:r w:rsidR="008F0617">
        <w:rPr>
          <w:rFonts w:ascii="Garamond" w:eastAsia="Times New Roman" w:hAnsi="Garamond" w:cs="Times New Roman"/>
        </w:rPr>
        <w:t xml:space="preserve"> </w:t>
      </w:r>
      <w:r w:rsidR="00A43FD1">
        <w:rPr>
          <w:rFonts w:ascii="Garamond" w:eastAsia="Times New Roman" w:hAnsi="Garamond" w:cs="Times New Roman"/>
        </w:rPr>
        <w:t>n</w:t>
      </w:r>
      <w:r w:rsidR="008F0617">
        <w:rPr>
          <w:rFonts w:ascii="Garamond" w:eastAsia="Times New Roman" w:hAnsi="Garamond" w:cs="Times New Roman"/>
        </w:rPr>
        <w:t>o</w:t>
      </w:r>
      <w:r w:rsidR="00A43FD1">
        <w:rPr>
          <w:rFonts w:ascii="Garamond" w:eastAsia="Times New Roman" w:hAnsi="Garamond" w:cs="Times New Roman"/>
        </w:rPr>
        <w:t>t</w:t>
      </w:r>
      <w:r w:rsidRPr="00993785">
        <w:rPr>
          <w:rFonts w:ascii="Garamond" w:eastAsia="Times New Roman" w:hAnsi="Garamond" w:cs="Times New Roman"/>
        </w:rPr>
        <w:t xml:space="preserve"> reflect your most considered value judgments. But incapacitation often robs us of our ability to make normatively authoritative decisions, thus making sovereignty impossible. People do, of course, have ways of exercising their sovereignty while incapacitated, and advance directives are a prime example of such an exercise. But if such an exercise is impossible, we can respect their autonomy only by showing a concern for their nonalienation.</w:t>
      </w:r>
    </w:p>
    <w:p w14:paraId="6A2586F2" w14:textId="1D0A52BB" w:rsidR="00963870" w:rsidRPr="00993785" w:rsidRDefault="00963870" w:rsidP="00EA3155">
      <w:pPr>
        <w:spacing w:line="480" w:lineRule="auto"/>
        <w:ind w:firstLine="720"/>
        <w:jc w:val="both"/>
        <w:rPr>
          <w:rFonts w:ascii="Garamond" w:eastAsia="Times New Roman" w:hAnsi="Garamond" w:cs="Times New Roman"/>
        </w:rPr>
      </w:pPr>
      <w:r w:rsidRPr="00993785">
        <w:rPr>
          <w:rFonts w:ascii="Garamond" w:eastAsia="Times New Roman" w:hAnsi="Garamond" w:cs="Times New Roman"/>
        </w:rPr>
        <w:t>We think that the distinction that Enoch draws between nonalienation and sovereignty gives us a useful way to talk about the different sources of normative authority that surrogate decision</w:t>
      </w:r>
      <w:r w:rsidR="008F0617">
        <w:rPr>
          <w:rFonts w:ascii="Garamond" w:eastAsia="Times New Roman" w:hAnsi="Garamond" w:cs="Times New Roman"/>
        </w:rPr>
        <w:t xml:space="preserve"> </w:t>
      </w:r>
      <w:r w:rsidRPr="00993785">
        <w:rPr>
          <w:rFonts w:ascii="Garamond" w:eastAsia="Times New Roman" w:hAnsi="Garamond" w:cs="Times New Roman"/>
        </w:rPr>
        <w:t xml:space="preserve">makers may have. However, we are not wedded to it; there may be other ways of </w:t>
      </w:r>
      <w:r w:rsidR="00E25837" w:rsidRPr="00993785">
        <w:rPr>
          <w:rFonts w:ascii="Garamond" w:eastAsia="Times New Roman" w:hAnsi="Garamond" w:cs="Times New Roman"/>
        </w:rPr>
        <w:t xml:space="preserve">grounding </w:t>
      </w:r>
      <w:r w:rsidRPr="00993785">
        <w:rPr>
          <w:rFonts w:ascii="Garamond" w:eastAsia="Times New Roman" w:hAnsi="Garamond" w:cs="Times New Roman"/>
        </w:rPr>
        <w:t>that authority (Davis, 2004, 2009; Dworkin, 198</w:t>
      </w:r>
      <w:r w:rsidR="00427F2E">
        <w:rPr>
          <w:rFonts w:ascii="Garamond" w:eastAsia="Times New Roman" w:hAnsi="Garamond" w:cs="Times New Roman"/>
        </w:rPr>
        <w:t>6</w:t>
      </w:r>
      <w:r w:rsidRPr="00993785">
        <w:rPr>
          <w:rFonts w:ascii="Garamond" w:eastAsia="Times New Roman" w:hAnsi="Garamond" w:cs="Times New Roman"/>
        </w:rPr>
        <w:t xml:space="preserve">; Wrigley, 2015). For our present purposes, all we need is </w:t>
      </w:r>
      <w:r w:rsidRPr="00993785">
        <w:rPr>
          <w:rFonts w:ascii="Garamond" w:eastAsia="Times New Roman" w:hAnsi="Garamond" w:cs="Times New Roman"/>
        </w:rPr>
        <w:lastRenderedPageBreak/>
        <w:t>the supposition that surrogate decision</w:t>
      </w:r>
      <w:r w:rsidR="00BB088B">
        <w:rPr>
          <w:rFonts w:ascii="Garamond" w:eastAsia="Times New Roman" w:hAnsi="Garamond" w:cs="Times New Roman"/>
        </w:rPr>
        <w:t xml:space="preserve"> </w:t>
      </w:r>
      <w:r w:rsidRPr="00993785">
        <w:rPr>
          <w:rFonts w:ascii="Garamond" w:eastAsia="Times New Roman" w:hAnsi="Garamond" w:cs="Times New Roman"/>
        </w:rPr>
        <w:t xml:space="preserve">makers are at least </w:t>
      </w:r>
      <w:r w:rsidRPr="00993785">
        <w:rPr>
          <w:rFonts w:ascii="Garamond" w:eastAsia="Times New Roman" w:hAnsi="Garamond" w:cs="Times New Roman"/>
          <w:i/>
        </w:rPr>
        <w:t xml:space="preserve">sometimes </w:t>
      </w:r>
      <w:r w:rsidRPr="00993785">
        <w:rPr>
          <w:rFonts w:ascii="Garamond" w:eastAsia="Times New Roman" w:hAnsi="Garamond" w:cs="Times New Roman"/>
        </w:rPr>
        <w:t>justified in making serious medical decisions on behalf of their patients, along with the supposition that a surrogate's authority sometimes stems from a patient explicitly delegating it to them and other times stems from the surrogate’s ability to act in a way that accords with the patient’s values (or what Dworkin called their “critical interests”)</w:t>
      </w:r>
      <w:r w:rsidR="0093619A" w:rsidRPr="00993785">
        <w:rPr>
          <w:rFonts w:ascii="Garamond" w:eastAsia="Times New Roman" w:hAnsi="Garamond" w:cs="Times New Roman"/>
        </w:rPr>
        <w:t xml:space="preserve">. </w:t>
      </w:r>
      <w:r w:rsidRPr="00993785">
        <w:rPr>
          <w:rFonts w:ascii="Garamond" w:eastAsia="Times New Roman" w:hAnsi="Garamond" w:cs="Times New Roman"/>
        </w:rPr>
        <w:t xml:space="preserve">These, at </w:t>
      </w:r>
      <w:r w:rsidR="00BB088B">
        <w:rPr>
          <w:rFonts w:ascii="Garamond" w:eastAsia="Times New Roman" w:hAnsi="Garamond" w:cs="Times New Roman"/>
        </w:rPr>
        <w:t xml:space="preserve">the </w:t>
      </w:r>
      <w:r w:rsidRPr="00993785">
        <w:rPr>
          <w:rFonts w:ascii="Garamond" w:eastAsia="Times New Roman" w:hAnsi="Garamond" w:cs="Times New Roman"/>
        </w:rPr>
        <w:t xml:space="preserve">very least, are the kinds of assumptions that we need in order to justify the </w:t>
      </w:r>
      <w:r w:rsidR="0083495D" w:rsidRPr="00993785">
        <w:rPr>
          <w:rFonts w:ascii="Garamond" w:eastAsia="Times New Roman" w:hAnsi="Garamond" w:cs="Times New Roman"/>
        </w:rPr>
        <w:t>sorts</w:t>
      </w:r>
      <w:r w:rsidRPr="00993785">
        <w:rPr>
          <w:rFonts w:ascii="Garamond" w:eastAsia="Times New Roman" w:hAnsi="Garamond" w:cs="Times New Roman"/>
        </w:rPr>
        <w:t xml:space="preserve"> of </w:t>
      </w:r>
      <w:r w:rsidR="0083495D" w:rsidRPr="00993785">
        <w:rPr>
          <w:rFonts w:ascii="Garamond" w:eastAsia="Times New Roman" w:hAnsi="Garamond" w:cs="Times New Roman"/>
        </w:rPr>
        <w:t xml:space="preserve">serious and value-laden </w:t>
      </w:r>
      <w:r w:rsidRPr="00993785">
        <w:rPr>
          <w:rFonts w:ascii="Garamond" w:eastAsia="Times New Roman" w:hAnsi="Garamond" w:cs="Times New Roman"/>
        </w:rPr>
        <w:t>medical decisions that surrogate decision</w:t>
      </w:r>
      <w:r w:rsidR="00BB088B">
        <w:rPr>
          <w:rFonts w:ascii="Garamond" w:eastAsia="Times New Roman" w:hAnsi="Garamond" w:cs="Times New Roman"/>
        </w:rPr>
        <w:t xml:space="preserve"> </w:t>
      </w:r>
      <w:r w:rsidRPr="00993785">
        <w:rPr>
          <w:rFonts w:ascii="Garamond" w:eastAsia="Times New Roman" w:hAnsi="Garamond" w:cs="Times New Roman"/>
        </w:rPr>
        <w:t>makers are</w:t>
      </w:r>
      <w:r w:rsidR="001A096C" w:rsidRPr="00993785">
        <w:rPr>
          <w:rFonts w:ascii="Garamond" w:eastAsia="Times New Roman" w:hAnsi="Garamond" w:cs="Times New Roman"/>
        </w:rPr>
        <w:t xml:space="preserve"> presently</w:t>
      </w:r>
      <w:r w:rsidRPr="00993785">
        <w:rPr>
          <w:rFonts w:ascii="Garamond" w:eastAsia="Times New Roman" w:hAnsi="Garamond" w:cs="Times New Roman"/>
        </w:rPr>
        <w:t xml:space="preserve"> entitled to make</w:t>
      </w:r>
      <w:r w:rsidR="0093619A" w:rsidRPr="00993785">
        <w:rPr>
          <w:rFonts w:ascii="Garamond" w:eastAsia="Times New Roman" w:hAnsi="Garamond" w:cs="Times New Roman"/>
        </w:rPr>
        <w:t>.</w:t>
      </w:r>
      <w:r w:rsidRPr="00993785">
        <w:rPr>
          <w:rFonts w:ascii="Garamond" w:eastAsia="Times New Roman" w:hAnsi="Garamond" w:cs="Times New Roman"/>
        </w:rPr>
        <w:t xml:space="preserve"> </w:t>
      </w:r>
    </w:p>
    <w:p w14:paraId="3CB6E514" w14:textId="1E07E48F" w:rsidR="00963870" w:rsidRPr="00993785" w:rsidRDefault="00963870" w:rsidP="0083495D">
      <w:pPr>
        <w:spacing w:line="480" w:lineRule="auto"/>
        <w:ind w:firstLine="720"/>
        <w:jc w:val="both"/>
        <w:rPr>
          <w:rFonts w:ascii="Garamond" w:eastAsia="Times New Roman" w:hAnsi="Garamond" w:cs="Times New Roman"/>
        </w:rPr>
      </w:pPr>
      <w:r w:rsidRPr="00993785">
        <w:rPr>
          <w:rFonts w:ascii="Garamond" w:eastAsia="Times New Roman" w:hAnsi="Garamond" w:cs="Times New Roman"/>
        </w:rPr>
        <w:t xml:space="preserve">We think that considerations of patient nonalienation and sovereignty are sufficient to establish the in-principle permissibility of </w:t>
      </w:r>
      <w:r w:rsidR="001A096C" w:rsidRPr="00993785">
        <w:rPr>
          <w:rFonts w:ascii="Garamond" w:eastAsia="Times New Roman" w:hAnsi="Garamond" w:cs="Times New Roman"/>
        </w:rPr>
        <w:t>granting PAD requests made by surrogates</w:t>
      </w:r>
      <w:r w:rsidRPr="00993785">
        <w:rPr>
          <w:rFonts w:ascii="Garamond" w:eastAsia="Times New Roman" w:hAnsi="Garamond" w:cs="Times New Roman"/>
        </w:rPr>
        <w:t xml:space="preserve">, </w:t>
      </w:r>
      <w:r w:rsidR="0083495D" w:rsidRPr="00993785">
        <w:rPr>
          <w:rFonts w:ascii="Garamond" w:eastAsia="Times New Roman" w:hAnsi="Garamond" w:cs="Times New Roman"/>
        </w:rPr>
        <w:t>both</w:t>
      </w:r>
      <w:r w:rsidRPr="00993785">
        <w:rPr>
          <w:rFonts w:ascii="Garamond" w:eastAsia="Times New Roman" w:hAnsi="Garamond" w:cs="Times New Roman"/>
        </w:rPr>
        <w:t xml:space="preserve"> in cases where </w:t>
      </w:r>
      <w:r w:rsidR="0083495D" w:rsidRPr="00993785">
        <w:rPr>
          <w:rFonts w:ascii="Garamond" w:eastAsia="Times New Roman" w:hAnsi="Garamond" w:cs="Times New Roman"/>
        </w:rPr>
        <w:t>patients</w:t>
      </w:r>
      <w:r w:rsidRPr="00993785">
        <w:rPr>
          <w:rFonts w:ascii="Garamond" w:eastAsia="Times New Roman" w:hAnsi="Garamond" w:cs="Times New Roman"/>
        </w:rPr>
        <w:t xml:space="preserve"> appoint a surrogate via an advance directive</w:t>
      </w:r>
      <w:r w:rsidR="0083495D" w:rsidRPr="00993785">
        <w:rPr>
          <w:rFonts w:ascii="Garamond" w:eastAsia="Times New Roman" w:hAnsi="Garamond" w:cs="Times New Roman"/>
        </w:rPr>
        <w:t xml:space="preserve">, and also in cases where patients </w:t>
      </w:r>
      <w:r w:rsidR="002564D0" w:rsidRPr="00993785">
        <w:rPr>
          <w:rFonts w:ascii="Garamond" w:eastAsia="Times New Roman" w:hAnsi="Garamond" w:cs="Times New Roman"/>
        </w:rPr>
        <w:t>and</w:t>
      </w:r>
      <w:r w:rsidR="0083495D" w:rsidRPr="00993785">
        <w:rPr>
          <w:rFonts w:ascii="Garamond" w:eastAsia="Times New Roman" w:hAnsi="Garamond" w:cs="Times New Roman"/>
        </w:rPr>
        <w:t xml:space="preserve"> surrogate decision</w:t>
      </w:r>
      <w:r w:rsidR="00BB088B">
        <w:rPr>
          <w:rFonts w:ascii="Garamond" w:eastAsia="Times New Roman" w:hAnsi="Garamond" w:cs="Times New Roman"/>
        </w:rPr>
        <w:t xml:space="preserve"> </w:t>
      </w:r>
      <w:r w:rsidR="0083495D" w:rsidRPr="00993785">
        <w:rPr>
          <w:rFonts w:ascii="Garamond" w:eastAsia="Times New Roman" w:hAnsi="Garamond" w:cs="Times New Roman"/>
        </w:rPr>
        <w:t>maker</w:t>
      </w:r>
      <w:r w:rsidR="002564D0" w:rsidRPr="00993785">
        <w:rPr>
          <w:rFonts w:ascii="Garamond" w:eastAsia="Times New Roman" w:hAnsi="Garamond" w:cs="Times New Roman"/>
        </w:rPr>
        <w:t>s share a sufficiently close relationship</w:t>
      </w:r>
      <w:r w:rsidR="0083495D" w:rsidRPr="00993785">
        <w:rPr>
          <w:rFonts w:ascii="Garamond" w:eastAsia="Times New Roman" w:hAnsi="Garamond" w:cs="Times New Roman"/>
        </w:rPr>
        <w:t xml:space="preserve">. </w:t>
      </w:r>
      <w:r w:rsidRPr="00993785">
        <w:rPr>
          <w:rFonts w:ascii="Garamond" w:eastAsia="Times New Roman" w:hAnsi="Garamond" w:cs="Times New Roman"/>
        </w:rPr>
        <w:t xml:space="preserve"> At </w:t>
      </w:r>
      <w:r w:rsidR="00BB088B">
        <w:rPr>
          <w:rFonts w:ascii="Garamond" w:eastAsia="Times New Roman" w:hAnsi="Garamond" w:cs="Times New Roman"/>
        </w:rPr>
        <w:t xml:space="preserve">the </w:t>
      </w:r>
      <w:r w:rsidRPr="00993785">
        <w:rPr>
          <w:rFonts w:ascii="Garamond" w:eastAsia="Times New Roman" w:hAnsi="Garamond" w:cs="Times New Roman"/>
        </w:rPr>
        <w:t xml:space="preserve">very least, </w:t>
      </w:r>
      <w:r w:rsidRPr="00993785">
        <w:rPr>
          <w:rFonts w:ascii="Garamond" w:eastAsia="Times New Roman" w:hAnsi="Garamond" w:cs="Times New Roman"/>
          <w:i/>
        </w:rPr>
        <w:t xml:space="preserve">if </w:t>
      </w:r>
      <w:r w:rsidRPr="00993785">
        <w:rPr>
          <w:rFonts w:ascii="Garamond" w:eastAsia="Times New Roman" w:hAnsi="Garamond" w:cs="Times New Roman"/>
        </w:rPr>
        <w:t xml:space="preserve">these considerations establish the permissibility of other value-laden surrogate decisions, then they also establish the permissibility of </w:t>
      </w:r>
      <w:r w:rsidR="001A096C" w:rsidRPr="00993785">
        <w:rPr>
          <w:rFonts w:ascii="Garamond" w:eastAsia="Times New Roman" w:hAnsi="Garamond" w:cs="Times New Roman"/>
        </w:rPr>
        <w:t>surrogate-requested PAD</w:t>
      </w:r>
      <w:r w:rsidRPr="00993785">
        <w:rPr>
          <w:rFonts w:ascii="Garamond" w:eastAsia="Times New Roman" w:hAnsi="Garamond" w:cs="Times New Roman"/>
        </w:rPr>
        <w:t xml:space="preserve">. This means that, if we accept that patients ought to be allowed to request PAD via advance directives, and that surrogates ought to be allowed to make a range of value-laden life-or-death decisions on behalf of patients, then we must also grant </w:t>
      </w:r>
      <w:r w:rsidR="001A096C" w:rsidRPr="00993785">
        <w:rPr>
          <w:rFonts w:ascii="Garamond" w:eastAsia="Times New Roman" w:hAnsi="Garamond" w:cs="Times New Roman"/>
        </w:rPr>
        <w:t>that surrogates ought to be allowed to request PAD on behalf of incapacitated, terminally ill patients</w:t>
      </w:r>
      <w:r w:rsidRPr="00993785">
        <w:rPr>
          <w:rFonts w:ascii="Garamond" w:eastAsia="Times New Roman" w:hAnsi="Garamond" w:cs="Times New Roman"/>
        </w:rPr>
        <w:t xml:space="preserve">. </w:t>
      </w:r>
    </w:p>
    <w:p w14:paraId="58BED374" w14:textId="0F61750F" w:rsidR="00963870" w:rsidRPr="00993785" w:rsidRDefault="00963870" w:rsidP="00C4717A">
      <w:pPr>
        <w:spacing w:line="480" w:lineRule="auto"/>
        <w:ind w:firstLine="720"/>
        <w:jc w:val="both"/>
        <w:rPr>
          <w:rFonts w:ascii="Garamond" w:eastAsia="Times New Roman" w:hAnsi="Garamond" w:cs="Times New Roman"/>
          <w:highlight w:val="yellow"/>
        </w:rPr>
      </w:pPr>
      <w:r w:rsidRPr="00993785">
        <w:rPr>
          <w:rFonts w:ascii="Garamond" w:eastAsia="Times New Roman" w:hAnsi="Garamond" w:cs="Times New Roman"/>
        </w:rPr>
        <w:t>For the remainder of this section, we</w:t>
      </w:r>
      <w:r w:rsidR="00BB088B">
        <w:rPr>
          <w:rFonts w:ascii="Garamond" w:eastAsia="Times New Roman" w:hAnsi="Garamond" w:cs="Times New Roman"/>
        </w:rPr>
        <w:t xml:space="preserve"> wi</w:t>
      </w:r>
      <w:r w:rsidRPr="00993785">
        <w:rPr>
          <w:rFonts w:ascii="Garamond" w:eastAsia="Times New Roman" w:hAnsi="Garamond" w:cs="Times New Roman"/>
        </w:rPr>
        <w:t xml:space="preserve">ll consider how one might try to push against this line of reasoning, either by identifying some distinction between </w:t>
      </w:r>
      <w:r w:rsidR="00ED7104" w:rsidRPr="00993785">
        <w:rPr>
          <w:rFonts w:ascii="Garamond" w:eastAsia="Times New Roman" w:hAnsi="Garamond" w:cs="Times New Roman"/>
        </w:rPr>
        <w:t>advance directive-requested PAD</w:t>
      </w:r>
      <w:r w:rsidRPr="00993785">
        <w:rPr>
          <w:rFonts w:ascii="Garamond" w:eastAsia="Times New Roman" w:hAnsi="Garamond" w:cs="Times New Roman"/>
        </w:rPr>
        <w:t xml:space="preserve"> and </w:t>
      </w:r>
      <w:r w:rsidR="00ED7104" w:rsidRPr="00993785">
        <w:rPr>
          <w:rFonts w:ascii="Garamond" w:eastAsia="Times New Roman" w:hAnsi="Garamond" w:cs="Times New Roman"/>
        </w:rPr>
        <w:t>surrogate-requested PAD</w:t>
      </w:r>
      <w:r w:rsidRPr="00993785">
        <w:rPr>
          <w:rFonts w:ascii="Garamond" w:eastAsia="Times New Roman" w:hAnsi="Garamond" w:cs="Times New Roman"/>
        </w:rPr>
        <w:t xml:space="preserve">, or between </w:t>
      </w:r>
      <w:r w:rsidR="00ED7104" w:rsidRPr="00993785">
        <w:rPr>
          <w:rFonts w:ascii="Garamond" w:eastAsia="Times New Roman" w:hAnsi="Garamond" w:cs="Times New Roman"/>
        </w:rPr>
        <w:t>surrogate-requested PAD</w:t>
      </w:r>
      <w:r w:rsidRPr="00993785">
        <w:rPr>
          <w:rFonts w:ascii="Garamond" w:eastAsia="Times New Roman" w:hAnsi="Garamond" w:cs="Times New Roman"/>
        </w:rPr>
        <w:t xml:space="preserve"> </w:t>
      </w:r>
      <w:r w:rsidR="00ED7104" w:rsidRPr="00993785">
        <w:rPr>
          <w:rFonts w:ascii="Garamond" w:eastAsia="Times New Roman" w:hAnsi="Garamond" w:cs="Times New Roman"/>
        </w:rPr>
        <w:t>and surrogate-requested withdrawal of care</w:t>
      </w:r>
      <w:r w:rsidRPr="00993785">
        <w:rPr>
          <w:rFonts w:ascii="Garamond" w:eastAsia="Times New Roman" w:hAnsi="Garamond" w:cs="Times New Roman"/>
        </w:rPr>
        <w:t>. We</w:t>
      </w:r>
      <w:r w:rsidR="00BB088B">
        <w:rPr>
          <w:rFonts w:ascii="Garamond" w:eastAsia="Times New Roman" w:hAnsi="Garamond" w:cs="Times New Roman"/>
        </w:rPr>
        <w:t xml:space="preserve"> wi</w:t>
      </w:r>
      <w:r w:rsidRPr="00993785">
        <w:rPr>
          <w:rFonts w:ascii="Garamond" w:eastAsia="Times New Roman" w:hAnsi="Garamond" w:cs="Times New Roman"/>
        </w:rPr>
        <w:t xml:space="preserve">ll argue that none of these distinctions stand up to rational scrutiny. </w:t>
      </w:r>
    </w:p>
    <w:p w14:paraId="67A0382B" w14:textId="77777777" w:rsidR="00DF3997" w:rsidRPr="00993785" w:rsidRDefault="00DF3997" w:rsidP="00EA3155">
      <w:pPr>
        <w:spacing w:line="480" w:lineRule="auto"/>
        <w:ind w:firstLine="720"/>
        <w:jc w:val="both"/>
        <w:rPr>
          <w:rFonts w:ascii="Garamond" w:eastAsia="Times New Roman" w:hAnsi="Garamond" w:cs="Times New Roman"/>
          <w:highlight w:val="yellow"/>
        </w:rPr>
      </w:pPr>
    </w:p>
    <w:p w14:paraId="2BC2E2E8" w14:textId="4910D85E" w:rsidR="00963870" w:rsidRPr="00993785" w:rsidRDefault="00963870" w:rsidP="00EA3155">
      <w:pPr>
        <w:spacing w:line="480" w:lineRule="auto"/>
        <w:jc w:val="both"/>
        <w:rPr>
          <w:rFonts w:ascii="Garamond" w:eastAsia="EB Garamond" w:hAnsi="Garamond" w:cs="EB Garamond"/>
          <w:b/>
        </w:rPr>
      </w:pPr>
      <w:r w:rsidRPr="00993785">
        <w:rPr>
          <w:rFonts w:ascii="Garamond" w:eastAsia="EB Garamond" w:hAnsi="Garamond" w:cs="EB Garamond"/>
          <w:b/>
        </w:rPr>
        <w:t>3.</w:t>
      </w:r>
      <w:r w:rsidR="00DF3997" w:rsidRPr="00993785">
        <w:rPr>
          <w:rFonts w:ascii="Garamond" w:eastAsia="EB Garamond" w:hAnsi="Garamond" w:cs="EB Garamond"/>
          <w:b/>
        </w:rPr>
        <w:t>2—</w:t>
      </w:r>
      <w:r w:rsidRPr="00993785">
        <w:rPr>
          <w:rFonts w:ascii="Garamond" w:eastAsia="EB Garamond" w:hAnsi="Garamond" w:cs="EB Garamond"/>
          <w:b/>
        </w:rPr>
        <w:t>Appeal to the Risk of Acting Against the Patient’s Will</w:t>
      </w:r>
    </w:p>
    <w:p w14:paraId="6E87A8FB" w14:textId="704FADCE" w:rsidR="00963870" w:rsidRPr="00993785" w:rsidRDefault="00963870" w:rsidP="00EA3155">
      <w:pPr>
        <w:spacing w:line="480" w:lineRule="auto"/>
        <w:jc w:val="both"/>
        <w:rPr>
          <w:rFonts w:ascii="Garamond" w:eastAsia="EB Garamond" w:hAnsi="Garamond" w:cs="EB Garamond"/>
        </w:rPr>
      </w:pPr>
      <w:r w:rsidRPr="00993785">
        <w:rPr>
          <w:rFonts w:ascii="Garamond" w:eastAsia="EB Garamond" w:hAnsi="Garamond" w:cs="EB Garamond"/>
        </w:rPr>
        <w:t>Let</w:t>
      </w:r>
      <w:r w:rsidR="005437AD">
        <w:rPr>
          <w:rFonts w:ascii="Garamond" w:eastAsia="EB Garamond" w:hAnsi="Garamond" w:cs="EB Garamond"/>
        </w:rPr>
        <w:t xml:space="preserve"> u</w:t>
      </w:r>
      <w:r w:rsidRPr="00993785">
        <w:rPr>
          <w:rFonts w:ascii="Garamond" w:eastAsia="EB Garamond" w:hAnsi="Garamond" w:cs="EB Garamond"/>
        </w:rPr>
        <w:t>s first consider whether there</w:t>
      </w:r>
      <w:r w:rsidR="00BB088B">
        <w:rPr>
          <w:rFonts w:ascii="Garamond" w:eastAsia="EB Garamond" w:hAnsi="Garamond" w:cs="EB Garamond"/>
        </w:rPr>
        <w:t xml:space="preserve"> i</w:t>
      </w:r>
      <w:r w:rsidRPr="00993785">
        <w:rPr>
          <w:rFonts w:ascii="Garamond" w:eastAsia="EB Garamond" w:hAnsi="Garamond" w:cs="EB Garamond"/>
        </w:rPr>
        <w:t xml:space="preserve">s some morally relevant difference between </w:t>
      </w:r>
      <w:r w:rsidR="00072335" w:rsidRPr="00993785">
        <w:rPr>
          <w:rFonts w:ascii="Garamond" w:eastAsia="EB Garamond" w:hAnsi="Garamond" w:cs="EB Garamond"/>
        </w:rPr>
        <w:t>advance directive-requested PAD</w:t>
      </w:r>
      <w:r w:rsidRPr="00993785">
        <w:rPr>
          <w:rFonts w:ascii="Garamond" w:eastAsia="EB Garamond" w:hAnsi="Garamond" w:cs="EB Garamond"/>
        </w:rPr>
        <w:t xml:space="preserve"> and </w:t>
      </w:r>
      <w:r w:rsidR="00072335" w:rsidRPr="00993785">
        <w:rPr>
          <w:rFonts w:ascii="Garamond" w:eastAsia="EB Garamond" w:hAnsi="Garamond" w:cs="EB Garamond"/>
        </w:rPr>
        <w:t>surrogate-requested PAD</w:t>
      </w:r>
      <w:r w:rsidRPr="00993785">
        <w:rPr>
          <w:rFonts w:ascii="Garamond" w:eastAsia="EB Garamond" w:hAnsi="Garamond" w:cs="EB Garamond"/>
        </w:rPr>
        <w:t xml:space="preserve"> that renders the former practice permissible and the </w:t>
      </w:r>
      <w:r w:rsidRPr="00993785">
        <w:rPr>
          <w:rFonts w:ascii="Garamond" w:eastAsia="EB Garamond" w:hAnsi="Garamond" w:cs="EB Garamond"/>
        </w:rPr>
        <w:lastRenderedPageBreak/>
        <w:t xml:space="preserve">latter practice impermissible. What might that difference be? One thing that an opponent could point to would be the </w:t>
      </w:r>
      <w:r w:rsidR="00ED7104" w:rsidRPr="00993785">
        <w:rPr>
          <w:rFonts w:ascii="Garamond" w:eastAsia="EB Garamond" w:hAnsi="Garamond" w:cs="EB Garamond"/>
        </w:rPr>
        <w:t xml:space="preserve">differing </w:t>
      </w:r>
      <w:r w:rsidRPr="00993785">
        <w:rPr>
          <w:rFonts w:ascii="Garamond" w:eastAsia="EB Garamond" w:hAnsi="Garamond" w:cs="EB Garamond"/>
        </w:rPr>
        <w:t xml:space="preserve">potential that </w:t>
      </w:r>
      <w:r w:rsidR="00ED7104" w:rsidRPr="00993785">
        <w:rPr>
          <w:rFonts w:ascii="Garamond" w:eastAsia="EB Garamond" w:hAnsi="Garamond" w:cs="EB Garamond"/>
        </w:rPr>
        <w:t>each</w:t>
      </w:r>
      <w:r w:rsidRPr="00993785">
        <w:rPr>
          <w:rFonts w:ascii="Garamond" w:eastAsia="EB Garamond" w:hAnsi="Garamond" w:cs="EB Garamond"/>
        </w:rPr>
        <w:t xml:space="preserve"> practice</w:t>
      </w:r>
      <w:r w:rsidR="00ED7104" w:rsidRPr="00993785">
        <w:rPr>
          <w:rFonts w:ascii="Garamond" w:eastAsia="EB Garamond" w:hAnsi="Garamond" w:cs="EB Garamond"/>
        </w:rPr>
        <w:t xml:space="preserve"> has</w:t>
      </w:r>
      <w:r w:rsidRPr="00993785">
        <w:rPr>
          <w:rFonts w:ascii="Garamond" w:eastAsia="EB Garamond" w:hAnsi="Garamond" w:cs="EB Garamond"/>
        </w:rPr>
        <w:t xml:space="preserve"> of leading us to act in ways that violate a patient’s will. </w:t>
      </w:r>
    </w:p>
    <w:p w14:paraId="656AA90E" w14:textId="110FAD01" w:rsidR="00963870" w:rsidRPr="00993785" w:rsidRDefault="00963870" w:rsidP="00EA3155">
      <w:pPr>
        <w:spacing w:line="480" w:lineRule="auto"/>
        <w:jc w:val="both"/>
        <w:rPr>
          <w:rFonts w:ascii="Garamond" w:eastAsia="EB Garamond" w:hAnsi="Garamond" w:cs="EB Garamond"/>
        </w:rPr>
      </w:pPr>
      <w:r w:rsidRPr="00993785">
        <w:rPr>
          <w:rFonts w:ascii="Garamond" w:eastAsia="EB Garamond" w:hAnsi="Garamond" w:cs="EB Garamond"/>
        </w:rPr>
        <w:tab/>
        <w:t>We</w:t>
      </w:r>
      <w:r w:rsidR="00BB088B">
        <w:rPr>
          <w:rFonts w:ascii="Garamond" w:eastAsia="EB Garamond" w:hAnsi="Garamond" w:cs="EB Garamond"/>
        </w:rPr>
        <w:t xml:space="preserve"> ha</w:t>
      </w:r>
      <w:r w:rsidRPr="00993785">
        <w:rPr>
          <w:rFonts w:ascii="Garamond" w:eastAsia="EB Garamond" w:hAnsi="Garamond" w:cs="EB Garamond"/>
        </w:rPr>
        <w:t xml:space="preserve">ve already granted that this risk, although present in the </w:t>
      </w:r>
      <w:r w:rsidR="00072335" w:rsidRPr="00993785">
        <w:rPr>
          <w:rFonts w:ascii="Garamond" w:eastAsia="EB Garamond" w:hAnsi="Garamond" w:cs="EB Garamond"/>
        </w:rPr>
        <w:t>advance directive-requested PAD</w:t>
      </w:r>
      <w:r w:rsidRPr="00993785">
        <w:rPr>
          <w:rFonts w:ascii="Garamond" w:eastAsia="EB Garamond" w:hAnsi="Garamond" w:cs="EB Garamond"/>
        </w:rPr>
        <w:t xml:space="preserve"> case, is not so great so as to render that practice </w:t>
      </w:r>
      <w:r w:rsidRPr="00993785">
        <w:rPr>
          <w:rFonts w:ascii="Garamond" w:eastAsia="EB Garamond" w:hAnsi="Garamond" w:cs="EB Garamond"/>
          <w:i/>
        </w:rPr>
        <w:t xml:space="preserve">prima facie </w:t>
      </w:r>
      <w:r w:rsidRPr="00993785">
        <w:rPr>
          <w:rFonts w:ascii="Garamond" w:eastAsia="EB Garamond" w:hAnsi="Garamond" w:cs="EB Garamond"/>
        </w:rPr>
        <w:t xml:space="preserve">impermissible. But perhaps the risk is </w:t>
      </w:r>
      <w:r w:rsidR="0083495D" w:rsidRPr="00993785">
        <w:rPr>
          <w:rFonts w:ascii="Garamond" w:eastAsia="EB Garamond" w:hAnsi="Garamond" w:cs="EB Garamond"/>
        </w:rPr>
        <w:t>much greater</w:t>
      </w:r>
      <w:r w:rsidRPr="00993785">
        <w:rPr>
          <w:rFonts w:ascii="Garamond" w:eastAsia="EB Garamond" w:hAnsi="Garamond" w:cs="EB Garamond"/>
        </w:rPr>
        <w:t xml:space="preserve"> in the surrogacy case. After all, whereas we at least know in the </w:t>
      </w:r>
      <w:r w:rsidR="00072335" w:rsidRPr="00993785">
        <w:rPr>
          <w:rFonts w:ascii="Garamond" w:eastAsia="EB Garamond" w:hAnsi="Garamond" w:cs="EB Garamond"/>
        </w:rPr>
        <w:t>advance directive</w:t>
      </w:r>
      <w:r w:rsidRPr="00993785">
        <w:rPr>
          <w:rFonts w:ascii="Garamond" w:eastAsia="EB Garamond" w:hAnsi="Garamond" w:cs="EB Garamond"/>
        </w:rPr>
        <w:t xml:space="preserve"> case that a patient has </w:t>
      </w:r>
      <w:r w:rsidRPr="00993785">
        <w:rPr>
          <w:rFonts w:ascii="Garamond" w:eastAsia="EB Garamond" w:hAnsi="Garamond" w:cs="EB Garamond"/>
          <w:i/>
        </w:rPr>
        <w:t xml:space="preserve">previously </w:t>
      </w:r>
      <w:r w:rsidRPr="00993785">
        <w:rPr>
          <w:rFonts w:ascii="Garamond" w:eastAsia="EB Garamond" w:hAnsi="Garamond" w:cs="EB Garamond"/>
        </w:rPr>
        <w:t>wanted medical aid in dying, we do</w:t>
      </w:r>
      <w:r w:rsidR="00BB088B">
        <w:rPr>
          <w:rFonts w:ascii="Garamond" w:eastAsia="EB Garamond" w:hAnsi="Garamond" w:cs="EB Garamond"/>
        </w:rPr>
        <w:t xml:space="preserve"> </w:t>
      </w:r>
      <w:r w:rsidRPr="00993785">
        <w:rPr>
          <w:rFonts w:ascii="Garamond" w:eastAsia="EB Garamond" w:hAnsi="Garamond" w:cs="EB Garamond"/>
        </w:rPr>
        <w:t>n</w:t>
      </w:r>
      <w:r w:rsidR="00BB088B">
        <w:rPr>
          <w:rFonts w:ascii="Garamond" w:eastAsia="EB Garamond" w:hAnsi="Garamond" w:cs="EB Garamond"/>
        </w:rPr>
        <w:t>o</w:t>
      </w:r>
      <w:r w:rsidRPr="00993785">
        <w:rPr>
          <w:rFonts w:ascii="Garamond" w:eastAsia="EB Garamond" w:hAnsi="Garamond" w:cs="EB Garamond"/>
        </w:rPr>
        <w:t xml:space="preserve">t have any similar knowledge in the surrogacy case. And so, one might </w:t>
      </w:r>
      <w:r w:rsidR="0083495D" w:rsidRPr="00993785">
        <w:rPr>
          <w:rFonts w:ascii="Garamond" w:eastAsia="EB Garamond" w:hAnsi="Garamond" w:cs="EB Garamond"/>
        </w:rPr>
        <w:t>worry</w:t>
      </w:r>
      <w:r w:rsidRPr="00993785">
        <w:rPr>
          <w:rFonts w:ascii="Garamond" w:eastAsia="EB Garamond" w:hAnsi="Garamond" w:cs="EB Garamond"/>
        </w:rPr>
        <w:t xml:space="preserve"> that, by respecting the surrogate’s will, we run a serious risk of violating the patient’s will. </w:t>
      </w:r>
    </w:p>
    <w:p w14:paraId="47E4724D" w14:textId="216CB9A9" w:rsidR="00963870" w:rsidRPr="00993785" w:rsidRDefault="00963870" w:rsidP="00EA3155">
      <w:pPr>
        <w:spacing w:line="480" w:lineRule="auto"/>
        <w:jc w:val="both"/>
        <w:rPr>
          <w:rFonts w:ascii="Garamond" w:eastAsia="EB Garamond" w:hAnsi="Garamond" w:cs="EB Garamond"/>
        </w:rPr>
      </w:pPr>
      <w:r w:rsidRPr="00993785">
        <w:rPr>
          <w:rFonts w:ascii="Garamond" w:eastAsia="EB Garamond" w:hAnsi="Garamond" w:cs="EB Garamond"/>
        </w:rPr>
        <w:tab/>
        <w:t>We find this worry unpersuasive. To start, it is</w:t>
      </w:r>
      <w:r w:rsidR="00BB088B">
        <w:rPr>
          <w:rFonts w:ascii="Garamond" w:eastAsia="EB Garamond" w:hAnsi="Garamond" w:cs="EB Garamond"/>
        </w:rPr>
        <w:t xml:space="preserve"> </w:t>
      </w:r>
      <w:r w:rsidRPr="00993785">
        <w:rPr>
          <w:rFonts w:ascii="Garamond" w:eastAsia="EB Garamond" w:hAnsi="Garamond" w:cs="EB Garamond"/>
        </w:rPr>
        <w:t>n</w:t>
      </w:r>
      <w:r w:rsidR="00BB088B">
        <w:rPr>
          <w:rFonts w:ascii="Garamond" w:eastAsia="EB Garamond" w:hAnsi="Garamond" w:cs="EB Garamond"/>
        </w:rPr>
        <w:t>o</w:t>
      </w:r>
      <w:r w:rsidRPr="00993785">
        <w:rPr>
          <w:rFonts w:ascii="Garamond" w:eastAsia="EB Garamond" w:hAnsi="Garamond" w:cs="EB Garamond"/>
        </w:rPr>
        <w:t xml:space="preserve">t true that the patient’s will is </w:t>
      </w:r>
      <w:r w:rsidR="001A26FE">
        <w:rPr>
          <w:rFonts w:ascii="Garamond" w:eastAsia="EB Garamond" w:hAnsi="Garamond" w:cs="EB Garamond"/>
        </w:rPr>
        <w:t xml:space="preserve">always </w:t>
      </w:r>
      <w:r w:rsidRPr="00993785">
        <w:rPr>
          <w:rFonts w:ascii="Garamond" w:eastAsia="EB Garamond" w:hAnsi="Garamond" w:cs="EB Garamond"/>
        </w:rPr>
        <w:t xml:space="preserve">absent from surrogate decision-making. Many surrogates are directly appointed by patients; as such, their decisions can be taken to be a direct expression of their patient’s will. </w:t>
      </w:r>
    </w:p>
    <w:p w14:paraId="059F4792" w14:textId="2C2089EB" w:rsidR="00FF24AE" w:rsidRPr="00993785" w:rsidRDefault="00963870" w:rsidP="00EA3155">
      <w:pPr>
        <w:spacing w:line="480" w:lineRule="auto"/>
        <w:jc w:val="both"/>
        <w:rPr>
          <w:rFonts w:ascii="Garamond" w:eastAsia="EB Garamond" w:hAnsi="Garamond" w:cs="EB Garamond"/>
        </w:rPr>
      </w:pPr>
      <w:r w:rsidRPr="00993785">
        <w:rPr>
          <w:rFonts w:ascii="Garamond" w:eastAsia="EB Garamond" w:hAnsi="Garamond" w:cs="EB Garamond"/>
        </w:rPr>
        <w:tab/>
        <w:t>Of course, not all cases of surrogate decision-making involve appointed surrogates. Family members may be appointed by a legal mechanism to act as surrogate decision</w:t>
      </w:r>
      <w:r w:rsidR="00BB088B">
        <w:rPr>
          <w:rFonts w:ascii="Garamond" w:eastAsia="EB Garamond" w:hAnsi="Garamond" w:cs="EB Garamond"/>
        </w:rPr>
        <w:t xml:space="preserve"> </w:t>
      </w:r>
      <w:r w:rsidRPr="00993785">
        <w:rPr>
          <w:rFonts w:ascii="Garamond" w:eastAsia="EB Garamond" w:hAnsi="Garamond" w:cs="EB Garamond"/>
        </w:rPr>
        <w:t>makers in cases where patients have</w:t>
      </w:r>
      <w:r w:rsidR="00BB088B">
        <w:rPr>
          <w:rFonts w:ascii="Garamond" w:eastAsia="EB Garamond" w:hAnsi="Garamond" w:cs="EB Garamond"/>
        </w:rPr>
        <w:t xml:space="preserve"> </w:t>
      </w:r>
      <w:r w:rsidRPr="00993785">
        <w:rPr>
          <w:rFonts w:ascii="Garamond" w:eastAsia="EB Garamond" w:hAnsi="Garamond" w:cs="EB Garamond"/>
        </w:rPr>
        <w:t>n</w:t>
      </w:r>
      <w:r w:rsidR="00BB088B">
        <w:rPr>
          <w:rFonts w:ascii="Garamond" w:eastAsia="EB Garamond" w:hAnsi="Garamond" w:cs="EB Garamond"/>
        </w:rPr>
        <w:t>o</w:t>
      </w:r>
      <w:r w:rsidRPr="00993785">
        <w:rPr>
          <w:rFonts w:ascii="Garamond" w:eastAsia="EB Garamond" w:hAnsi="Garamond" w:cs="EB Garamond"/>
        </w:rPr>
        <w:t>t filled out advance directives. And incapacitated patients who lack sufficiently close or willing family members may even have complete strangers appointed to act as their surrogate decision</w:t>
      </w:r>
      <w:r w:rsidR="00BB088B">
        <w:rPr>
          <w:rFonts w:ascii="Garamond" w:eastAsia="EB Garamond" w:hAnsi="Garamond" w:cs="EB Garamond"/>
        </w:rPr>
        <w:t xml:space="preserve"> </w:t>
      </w:r>
      <w:r w:rsidRPr="00993785">
        <w:rPr>
          <w:rFonts w:ascii="Garamond" w:eastAsia="EB Garamond" w:hAnsi="Garamond" w:cs="EB Garamond"/>
        </w:rPr>
        <w:t>makers. In these cases, the relationship between the patient’s will and the surrogate’s decision</w:t>
      </w:r>
      <w:r w:rsidR="00BB088B">
        <w:rPr>
          <w:rFonts w:ascii="Garamond" w:eastAsia="EB Garamond" w:hAnsi="Garamond" w:cs="EB Garamond"/>
        </w:rPr>
        <w:t xml:space="preserve"> </w:t>
      </w:r>
      <w:r w:rsidRPr="00993785">
        <w:rPr>
          <w:rFonts w:ascii="Garamond" w:eastAsia="EB Garamond" w:hAnsi="Garamond" w:cs="EB Garamond"/>
        </w:rPr>
        <w:t>maker is less clear; while the surrogate decision</w:t>
      </w:r>
      <w:r w:rsidR="00BB088B">
        <w:rPr>
          <w:rFonts w:ascii="Garamond" w:eastAsia="EB Garamond" w:hAnsi="Garamond" w:cs="EB Garamond"/>
        </w:rPr>
        <w:t xml:space="preserve"> </w:t>
      </w:r>
      <w:r w:rsidRPr="00993785">
        <w:rPr>
          <w:rFonts w:ascii="Garamond" w:eastAsia="EB Garamond" w:hAnsi="Garamond" w:cs="EB Garamond"/>
        </w:rPr>
        <w:t xml:space="preserve">maker may still be acting out of respect for the patient’s nonalienation, this </w:t>
      </w:r>
      <w:r w:rsidR="00BB088B" w:rsidRPr="00993785">
        <w:rPr>
          <w:rFonts w:ascii="Garamond" w:eastAsia="EB Garamond" w:hAnsi="Garamond" w:cs="EB Garamond"/>
        </w:rPr>
        <w:t>w</w:t>
      </w:r>
      <w:r w:rsidR="00BB088B">
        <w:rPr>
          <w:rFonts w:ascii="Garamond" w:eastAsia="EB Garamond" w:hAnsi="Garamond" w:cs="EB Garamond"/>
        </w:rPr>
        <w:t xml:space="preserve">ill not </w:t>
      </w:r>
      <w:r w:rsidRPr="00993785">
        <w:rPr>
          <w:rFonts w:ascii="Garamond" w:eastAsia="EB Garamond" w:hAnsi="Garamond" w:cs="EB Garamond"/>
        </w:rPr>
        <w:t xml:space="preserve">always be the case. </w:t>
      </w:r>
    </w:p>
    <w:p w14:paraId="3AEB4B7C" w14:textId="68F5DC04" w:rsidR="002E2C4A" w:rsidRPr="00993785" w:rsidRDefault="00FF24AE" w:rsidP="00FF24AE">
      <w:pPr>
        <w:spacing w:line="480" w:lineRule="auto"/>
        <w:ind w:firstLine="720"/>
        <w:jc w:val="both"/>
        <w:rPr>
          <w:rFonts w:ascii="Garamond" w:eastAsia="EB Garamond" w:hAnsi="Garamond" w:cs="EB Garamond"/>
        </w:rPr>
      </w:pPr>
      <w:r w:rsidRPr="00993785">
        <w:rPr>
          <w:rFonts w:ascii="Garamond" w:eastAsia="EB Garamond" w:hAnsi="Garamond" w:cs="EB Garamond"/>
        </w:rPr>
        <w:t>We</w:t>
      </w:r>
      <w:r w:rsidR="00BB088B">
        <w:rPr>
          <w:rFonts w:ascii="Garamond" w:eastAsia="EB Garamond" w:hAnsi="Garamond" w:cs="EB Garamond"/>
        </w:rPr>
        <w:t xml:space="preserve"> wi</w:t>
      </w:r>
      <w:r w:rsidRPr="00993785">
        <w:rPr>
          <w:rFonts w:ascii="Garamond" w:eastAsia="EB Garamond" w:hAnsi="Garamond" w:cs="EB Garamond"/>
        </w:rPr>
        <w:t xml:space="preserve">ll explore these cases in greater detail in Section 4. For now, let us note that, </w:t>
      </w:r>
      <w:r w:rsidR="00963870" w:rsidRPr="00993785">
        <w:rPr>
          <w:rFonts w:ascii="Garamond" w:eastAsia="EB Garamond" w:hAnsi="Garamond" w:cs="EB Garamond"/>
        </w:rPr>
        <w:t xml:space="preserve">when it comes to other medical decisions that increase the risk of untimely death, we take it that the benefits that a patient may receive from being able to have those decisions made outweighs the risk of those decisions violating their will. This, at </w:t>
      </w:r>
      <w:r w:rsidR="00BB088B">
        <w:rPr>
          <w:rFonts w:ascii="Garamond" w:eastAsia="EB Garamond" w:hAnsi="Garamond" w:cs="EB Garamond"/>
        </w:rPr>
        <w:t xml:space="preserve">the </w:t>
      </w:r>
      <w:r w:rsidR="00963870" w:rsidRPr="00993785">
        <w:rPr>
          <w:rFonts w:ascii="Garamond" w:eastAsia="EB Garamond" w:hAnsi="Garamond" w:cs="EB Garamond"/>
        </w:rPr>
        <w:t>very least, is how we can explain the reasons that we may have to respect withdrawal of care requests made on behalf of patients by surrogates</w:t>
      </w:r>
      <w:r w:rsidR="0083495D" w:rsidRPr="00993785">
        <w:rPr>
          <w:rFonts w:ascii="Garamond" w:eastAsia="EB Garamond" w:hAnsi="Garamond" w:cs="EB Garamond"/>
        </w:rPr>
        <w:t xml:space="preserve"> </w:t>
      </w:r>
      <w:r w:rsidR="00BB088B">
        <w:rPr>
          <w:rFonts w:ascii="Garamond" w:eastAsia="EB Garamond" w:hAnsi="Garamond" w:cs="EB Garamond"/>
        </w:rPr>
        <w:t>who</w:t>
      </w:r>
      <w:r w:rsidR="00BB088B" w:rsidRPr="00993785">
        <w:rPr>
          <w:rFonts w:ascii="Garamond" w:eastAsia="EB Garamond" w:hAnsi="Garamond" w:cs="EB Garamond"/>
        </w:rPr>
        <w:t xml:space="preserve"> </w:t>
      </w:r>
      <w:r w:rsidR="0083495D" w:rsidRPr="00993785">
        <w:rPr>
          <w:rFonts w:ascii="Garamond" w:eastAsia="EB Garamond" w:hAnsi="Garamond" w:cs="EB Garamond"/>
        </w:rPr>
        <w:t xml:space="preserve">have not </w:t>
      </w:r>
      <w:r w:rsidR="0083495D" w:rsidRPr="00993785">
        <w:rPr>
          <w:rFonts w:ascii="Garamond" w:eastAsia="EB Garamond" w:hAnsi="Garamond" w:cs="EB Garamond"/>
        </w:rPr>
        <w:lastRenderedPageBreak/>
        <w:t>been appointed via an advance directive</w:t>
      </w:r>
      <w:r w:rsidR="00963870" w:rsidRPr="00993785">
        <w:rPr>
          <w:rFonts w:ascii="Garamond" w:eastAsia="EB Garamond" w:hAnsi="Garamond" w:cs="EB Garamond"/>
        </w:rPr>
        <w:t xml:space="preserve">. If such withdrawal of care requests </w:t>
      </w:r>
      <w:proofErr w:type="gramStart"/>
      <w:r w:rsidR="00963870" w:rsidRPr="00993785">
        <w:rPr>
          <w:rFonts w:ascii="Garamond" w:eastAsia="EB Garamond" w:hAnsi="Garamond" w:cs="EB Garamond"/>
        </w:rPr>
        <w:t>are</w:t>
      </w:r>
      <w:proofErr w:type="gramEnd"/>
      <w:r w:rsidR="00963870" w:rsidRPr="00993785">
        <w:rPr>
          <w:rFonts w:ascii="Garamond" w:eastAsia="EB Garamond" w:hAnsi="Garamond" w:cs="EB Garamond"/>
        </w:rPr>
        <w:t xml:space="preserve"> in</w:t>
      </w:r>
      <w:r w:rsidR="00BB088B">
        <w:rPr>
          <w:rFonts w:ascii="Garamond" w:eastAsia="EB Garamond" w:hAnsi="Garamond" w:cs="EB Garamond"/>
        </w:rPr>
        <w:t xml:space="preserve"> </w:t>
      </w:r>
      <w:r w:rsidR="00963870" w:rsidRPr="00993785">
        <w:rPr>
          <w:rFonts w:ascii="Garamond" w:eastAsia="EB Garamond" w:hAnsi="Garamond" w:cs="EB Garamond"/>
        </w:rPr>
        <w:t>principle justifiable, then it is hard to see why medical aid in dying requests would</w:t>
      </w:r>
      <w:r w:rsidR="00BB088B">
        <w:rPr>
          <w:rFonts w:ascii="Garamond" w:eastAsia="EB Garamond" w:hAnsi="Garamond" w:cs="EB Garamond"/>
        </w:rPr>
        <w:t xml:space="preserve"> </w:t>
      </w:r>
      <w:r w:rsidR="00963870" w:rsidRPr="00993785">
        <w:rPr>
          <w:rFonts w:ascii="Garamond" w:eastAsia="EB Garamond" w:hAnsi="Garamond" w:cs="EB Garamond"/>
        </w:rPr>
        <w:t>n</w:t>
      </w:r>
      <w:r w:rsidR="00BB088B">
        <w:rPr>
          <w:rFonts w:ascii="Garamond" w:eastAsia="EB Garamond" w:hAnsi="Garamond" w:cs="EB Garamond"/>
        </w:rPr>
        <w:t>o</w:t>
      </w:r>
      <w:r w:rsidR="00963870" w:rsidRPr="00993785">
        <w:rPr>
          <w:rFonts w:ascii="Garamond" w:eastAsia="EB Garamond" w:hAnsi="Garamond" w:cs="EB Garamond"/>
        </w:rPr>
        <w:t xml:space="preserve">t be justifiable in </w:t>
      </w:r>
      <w:r w:rsidR="005B1297">
        <w:rPr>
          <w:rFonts w:ascii="Garamond" w:eastAsia="EB Garamond" w:hAnsi="Garamond" w:cs="EB Garamond"/>
        </w:rPr>
        <w:t>analogous</w:t>
      </w:r>
      <w:r w:rsidR="005B1297" w:rsidRPr="00993785">
        <w:rPr>
          <w:rFonts w:ascii="Garamond" w:eastAsia="EB Garamond" w:hAnsi="Garamond" w:cs="EB Garamond"/>
        </w:rPr>
        <w:t xml:space="preserve"> </w:t>
      </w:r>
      <w:r w:rsidR="00963870" w:rsidRPr="00993785">
        <w:rPr>
          <w:rFonts w:ascii="Garamond" w:eastAsia="EB Garamond" w:hAnsi="Garamond" w:cs="EB Garamond"/>
        </w:rPr>
        <w:t>circumstances.</w:t>
      </w:r>
    </w:p>
    <w:p w14:paraId="4E7A0F91" w14:textId="77777777" w:rsidR="00FF24AE" w:rsidRPr="00993785" w:rsidRDefault="00FF24AE" w:rsidP="00FF24AE">
      <w:pPr>
        <w:spacing w:line="480" w:lineRule="auto"/>
        <w:jc w:val="both"/>
        <w:rPr>
          <w:rFonts w:ascii="Garamond" w:eastAsia="EB Garamond" w:hAnsi="Garamond" w:cs="EB Garamond"/>
          <w:b/>
        </w:rPr>
      </w:pPr>
    </w:p>
    <w:p w14:paraId="7409E841" w14:textId="7767143C" w:rsidR="00FF24AE" w:rsidRPr="00993785" w:rsidRDefault="00FF24AE" w:rsidP="00FF24AE">
      <w:pPr>
        <w:spacing w:line="480" w:lineRule="auto"/>
        <w:jc w:val="both"/>
        <w:rPr>
          <w:rFonts w:ascii="Garamond" w:eastAsia="EB Garamond" w:hAnsi="Garamond" w:cs="EB Garamond"/>
          <w:b/>
        </w:rPr>
      </w:pPr>
      <w:r w:rsidRPr="00993785">
        <w:rPr>
          <w:rFonts w:ascii="Garamond" w:eastAsia="EB Garamond" w:hAnsi="Garamond" w:cs="EB Garamond"/>
          <w:b/>
        </w:rPr>
        <w:t>3.</w:t>
      </w:r>
      <w:r w:rsidR="00DF3997" w:rsidRPr="00993785">
        <w:rPr>
          <w:rFonts w:ascii="Garamond" w:eastAsia="EB Garamond" w:hAnsi="Garamond" w:cs="EB Garamond"/>
          <w:b/>
        </w:rPr>
        <w:t>3—</w:t>
      </w:r>
      <w:r w:rsidRPr="00993785">
        <w:rPr>
          <w:rFonts w:ascii="Garamond" w:eastAsia="EB Garamond" w:hAnsi="Garamond" w:cs="EB Garamond"/>
          <w:b/>
        </w:rPr>
        <w:t>Appeal to the Risk of Killing Against the Patient’s Will</w:t>
      </w:r>
    </w:p>
    <w:p w14:paraId="3B1FF082" w14:textId="0387781D" w:rsidR="00FF24AE" w:rsidRPr="00993785" w:rsidRDefault="00FF24AE" w:rsidP="00FF24AE">
      <w:pPr>
        <w:spacing w:line="480" w:lineRule="auto"/>
        <w:jc w:val="both"/>
        <w:rPr>
          <w:rFonts w:ascii="Garamond" w:eastAsia="EB Garamond" w:hAnsi="Garamond" w:cs="EB Garamond"/>
        </w:rPr>
      </w:pPr>
      <w:r w:rsidRPr="00993785">
        <w:rPr>
          <w:rFonts w:ascii="Garamond" w:eastAsia="EB Garamond" w:hAnsi="Garamond" w:cs="EB Garamond"/>
        </w:rPr>
        <w:t>It seems, then, that if our opponent is to successfully refute surrogate-requested PAD without denying the normative legitimacy of other forms of surrogate</w:t>
      </w:r>
      <w:r w:rsidR="00BB088B">
        <w:rPr>
          <w:rFonts w:ascii="Garamond" w:eastAsia="EB Garamond" w:hAnsi="Garamond" w:cs="EB Garamond"/>
        </w:rPr>
        <w:t xml:space="preserve"> </w:t>
      </w:r>
      <w:r w:rsidRPr="00993785">
        <w:rPr>
          <w:rFonts w:ascii="Garamond" w:eastAsia="EB Garamond" w:hAnsi="Garamond" w:cs="EB Garamond"/>
        </w:rPr>
        <w:t>decision</w:t>
      </w:r>
      <w:r w:rsidR="00BB088B">
        <w:rPr>
          <w:rFonts w:ascii="Garamond" w:eastAsia="EB Garamond" w:hAnsi="Garamond" w:cs="EB Garamond"/>
        </w:rPr>
        <w:t>-</w:t>
      </w:r>
      <w:r w:rsidRPr="00993785">
        <w:rPr>
          <w:rFonts w:ascii="Garamond" w:eastAsia="EB Garamond" w:hAnsi="Garamond" w:cs="EB Garamond"/>
        </w:rPr>
        <w:t>making, they must find some way of distinguishing PAD requests made by surrogates from withdrawal of care requests made by surrogates. One way to draw this distinction is by arguing that there</w:t>
      </w:r>
      <w:r w:rsidR="0083495D" w:rsidRPr="00993785">
        <w:rPr>
          <w:rFonts w:ascii="Garamond" w:eastAsia="EB Garamond" w:hAnsi="Garamond" w:cs="EB Garamond"/>
        </w:rPr>
        <w:t xml:space="preserve"> i</w:t>
      </w:r>
      <w:r w:rsidRPr="00993785">
        <w:rPr>
          <w:rFonts w:ascii="Garamond" w:eastAsia="EB Garamond" w:hAnsi="Garamond" w:cs="EB Garamond"/>
        </w:rPr>
        <w:t>s a moral difference between making a decision that risks letting a patient die against their will and making a decision that risks killing a patient against their will. The former sort of decision</w:t>
      </w:r>
      <w:r w:rsidR="000B63B9" w:rsidRPr="00993785">
        <w:rPr>
          <w:rFonts w:ascii="Garamond" w:eastAsia="EB Garamond" w:hAnsi="Garamond" w:cs="EB Garamond"/>
        </w:rPr>
        <w:t xml:space="preserve">, however risky, </w:t>
      </w:r>
      <w:r w:rsidRPr="00993785">
        <w:rPr>
          <w:rFonts w:ascii="Garamond" w:eastAsia="EB Garamond" w:hAnsi="Garamond" w:cs="EB Garamond"/>
        </w:rPr>
        <w:t>is justifiable; the latter</w:t>
      </w:r>
      <w:r w:rsidR="000B63B9" w:rsidRPr="00993785">
        <w:rPr>
          <w:rFonts w:ascii="Garamond" w:eastAsia="EB Garamond" w:hAnsi="Garamond" w:cs="EB Garamond"/>
        </w:rPr>
        <w:t xml:space="preserve"> </w:t>
      </w:r>
      <w:r w:rsidRPr="00993785">
        <w:rPr>
          <w:rFonts w:ascii="Garamond" w:eastAsia="EB Garamond" w:hAnsi="Garamond" w:cs="EB Garamond"/>
        </w:rPr>
        <w:t xml:space="preserve">is not. </w:t>
      </w:r>
    </w:p>
    <w:p w14:paraId="535A8584" w14:textId="6AC8F47C" w:rsidR="00FF24AE" w:rsidRPr="00993785" w:rsidRDefault="00FF24AE" w:rsidP="00FF24AE">
      <w:pPr>
        <w:spacing w:line="480" w:lineRule="auto"/>
        <w:jc w:val="both"/>
        <w:rPr>
          <w:rFonts w:ascii="Garamond" w:eastAsia="EB Garamond" w:hAnsi="Garamond" w:cs="EB Garamond"/>
        </w:rPr>
      </w:pPr>
      <w:r w:rsidRPr="00993785">
        <w:rPr>
          <w:rFonts w:ascii="Garamond" w:eastAsia="EB Garamond" w:hAnsi="Garamond" w:cs="EB Garamond"/>
        </w:rPr>
        <w:tab/>
        <w:t>We</w:t>
      </w:r>
      <w:r w:rsidR="00BB088B">
        <w:rPr>
          <w:rFonts w:ascii="Garamond" w:eastAsia="EB Garamond" w:hAnsi="Garamond" w:cs="EB Garamond"/>
        </w:rPr>
        <w:t xml:space="preserve"> ha</w:t>
      </w:r>
      <w:r w:rsidRPr="00993785">
        <w:rPr>
          <w:rFonts w:ascii="Garamond" w:eastAsia="EB Garamond" w:hAnsi="Garamond" w:cs="EB Garamond"/>
        </w:rPr>
        <w:t xml:space="preserve">ve already considered the killing/letting die distinction as a potential means of distinguishing </w:t>
      </w:r>
      <w:r w:rsidR="0013718F">
        <w:rPr>
          <w:rFonts w:ascii="Garamond" w:eastAsia="EB Garamond" w:hAnsi="Garamond" w:cs="EB Garamond"/>
        </w:rPr>
        <w:t xml:space="preserve">medical </w:t>
      </w:r>
      <w:r w:rsidRPr="00993785">
        <w:rPr>
          <w:rFonts w:ascii="Garamond" w:eastAsia="EB Garamond" w:hAnsi="Garamond" w:cs="EB Garamond"/>
        </w:rPr>
        <w:t>aid in dying requests made directly by patients from</w:t>
      </w:r>
      <w:r w:rsidR="0013718F">
        <w:rPr>
          <w:rFonts w:ascii="Garamond" w:eastAsia="EB Garamond" w:hAnsi="Garamond" w:cs="EB Garamond"/>
        </w:rPr>
        <w:t xml:space="preserve"> medical</w:t>
      </w:r>
      <w:r w:rsidRPr="00993785">
        <w:rPr>
          <w:rFonts w:ascii="Garamond" w:eastAsia="EB Garamond" w:hAnsi="Garamond" w:cs="EB Garamond"/>
        </w:rPr>
        <w:t xml:space="preserve"> aid in dying requests made in advance directives. In that case, we found it wanting. We argued that even if killing a patient against their will is worse than letting them die against their will, and even if advance</w:t>
      </w:r>
      <w:r w:rsidR="00BB088B">
        <w:rPr>
          <w:rFonts w:ascii="Garamond" w:eastAsia="EB Garamond" w:hAnsi="Garamond" w:cs="EB Garamond"/>
        </w:rPr>
        <w:t xml:space="preserve"> </w:t>
      </w:r>
      <w:r w:rsidRPr="00993785">
        <w:rPr>
          <w:rFonts w:ascii="Garamond" w:eastAsia="EB Garamond" w:hAnsi="Garamond" w:cs="EB Garamond"/>
        </w:rPr>
        <w:t>directive</w:t>
      </w:r>
      <w:r w:rsidR="000153E4" w:rsidRPr="00993785">
        <w:rPr>
          <w:rFonts w:ascii="Garamond" w:eastAsia="EB Garamond" w:hAnsi="Garamond" w:cs="EB Garamond"/>
        </w:rPr>
        <w:t>-</w:t>
      </w:r>
      <w:r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PAD carries a higher risk than patient</w:t>
      </w:r>
      <w:r w:rsidR="000153E4" w:rsidRPr="00993785">
        <w:rPr>
          <w:rFonts w:ascii="Garamond" w:eastAsia="EB Garamond" w:hAnsi="Garamond" w:cs="EB Garamond"/>
        </w:rPr>
        <w:t>-</w:t>
      </w:r>
      <w:r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PAD of killing a patient against their will, the additional benefits of advance</w:t>
      </w:r>
      <w:r w:rsidR="00BB088B">
        <w:rPr>
          <w:rFonts w:ascii="Garamond" w:eastAsia="EB Garamond" w:hAnsi="Garamond" w:cs="EB Garamond"/>
        </w:rPr>
        <w:t xml:space="preserve"> </w:t>
      </w:r>
      <w:r w:rsidRPr="00993785">
        <w:rPr>
          <w:rFonts w:ascii="Garamond" w:eastAsia="EB Garamond" w:hAnsi="Garamond" w:cs="EB Garamond"/>
        </w:rPr>
        <w:t>directive</w:t>
      </w:r>
      <w:r w:rsidR="000153E4" w:rsidRPr="00993785">
        <w:rPr>
          <w:rFonts w:ascii="Garamond" w:eastAsia="EB Garamond" w:hAnsi="Garamond" w:cs="EB Garamond"/>
        </w:rPr>
        <w:t>-</w:t>
      </w:r>
      <w:r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PAD outweigh the increased risk of killing. Likewise, we contend that even if surrogate</w:t>
      </w:r>
      <w:r w:rsidR="000153E4" w:rsidRPr="00993785">
        <w:rPr>
          <w:rFonts w:ascii="Garamond" w:eastAsia="EB Garamond" w:hAnsi="Garamond" w:cs="EB Garamond"/>
        </w:rPr>
        <w:t>-r</w:t>
      </w:r>
      <w:r w:rsidRPr="00993785">
        <w:rPr>
          <w:rFonts w:ascii="Garamond" w:eastAsia="EB Garamond" w:hAnsi="Garamond" w:cs="EB Garamond"/>
        </w:rPr>
        <w:t>equested</w:t>
      </w:r>
      <w:r w:rsidR="000153E4" w:rsidRPr="00993785">
        <w:rPr>
          <w:rFonts w:ascii="Garamond" w:eastAsia="EB Garamond" w:hAnsi="Garamond" w:cs="EB Garamond"/>
        </w:rPr>
        <w:t xml:space="preserve"> </w:t>
      </w:r>
      <w:r w:rsidRPr="00993785">
        <w:rPr>
          <w:rFonts w:ascii="Garamond" w:eastAsia="EB Garamond" w:hAnsi="Garamond" w:cs="EB Garamond"/>
        </w:rPr>
        <w:t>PAD carries a higher risk than patient</w:t>
      </w:r>
      <w:r w:rsidR="000153E4" w:rsidRPr="00993785">
        <w:rPr>
          <w:rFonts w:ascii="Garamond" w:eastAsia="EB Garamond" w:hAnsi="Garamond" w:cs="EB Garamond"/>
        </w:rPr>
        <w:t>-</w:t>
      </w:r>
      <w:r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PAD of killing a patient against their will, the additional benefits of surrogate</w:t>
      </w:r>
      <w:r w:rsidR="000153E4" w:rsidRPr="00993785">
        <w:rPr>
          <w:rFonts w:ascii="Garamond" w:eastAsia="EB Garamond" w:hAnsi="Garamond" w:cs="EB Garamond"/>
        </w:rPr>
        <w:t>-</w:t>
      </w:r>
      <w:r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PAD over patient</w:t>
      </w:r>
      <w:r w:rsidR="000153E4" w:rsidRPr="00993785">
        <w:rPr>
          <w:rFonts w:ascii="Garamond" w:eastAsia="EB Garamond" w:hAnsi="Garamond" w:cs="EB Garamond"/>
        </w:rPr>
        <w:t>-r</w:t>
      </w:r>
      <w:r w:rsidRPr="00993785">
        <w:rPr>
          <w:rFonts w:ascii="Garamond" w:eastAsia="EB Garamond" w:hAnsi="Garamond" w:cs="EB Garamond"/>
        </w:rPr>
        <w:t>equested</w:t>
      </w:r>
      <w:r w:rsidR="000153E4" w:rsidRPr="00993785">
        <w:rPr>
          <w:rFonts w:ascii="Garamond" w:eastAsia="EB Garamond" w:hAnsi="Garamond" w:cs="EB Garamond"/>
        </w:rPr>
        <w:t xml:space="preserve"> </w:t>
      </w:r>
      <w:r w:rsidRPr="00993785">
        <w:rPr>
          <w:rFonts w:ascii="Garamond" w:eastAsia="EB Garamond" w:hAnsi="Garamond" w:cs="EB Garamond"/>
        </w:rPr>
        <w:t>PAD outweigh this increased risk. The risks of surrogate</w:t>
      </w:r>
      <w:r w:rsidR="000153E4" w:rsidRPr="00993785">
        <w:rPr>
          <w:rFonts w:ascii="Garamond" w:eastAsia="EB Garamond" w:hAnsi="Garamond" w:cs="EB Garamond"/>
        </w:rPr>
        <w:t>-r</w:t>
      </w:r>
      <w:r w:rsidRPr="00993785">
        <w:rPr>
          <w:rFonts w:ascii="Garamond" w:eastAsia="EB Garamond" w:hAnsi="Garamond" w:cs="EB Garamond"/>
        </w:rPr>
        <w:t>equested</w:t>
      </w:r>
      <w:r w:rsidR="000153E4" w:rsidRPr="00993785">
        <w:rPr>
          <w:rFonts w:ascii="Garamond" w:eastAsia="EB Garamond" w:hAnsi="Garamond" w:cs="EB Garamond"/>
        </w:rPr>
        <w:t xml:space="preserve"> </w:t>
      </w:r>
      <w:r w:rsidRPr="00993785">
        <w:rPr>
          <w:rFonts w:ascii="Garamond" w:eastAsia="EB Garamond" w:hAnsi="Garamond" w:cs="EB Garamond"/>
        </w:rPr>
        <w:t>PAD may be larger than the risks of advance</w:t>
      </w:r>
      <w:r w:rsidR="00BB088B">
        <w:rPr>
          <w:rFonts w:ascii="Garamond" w:eastAsia="EB Garamond" w:hAnsi="Garamond" w:cs="EB Garamond"/>
        </w:rPr>
        <w:t xml:space="preserve"> </w:t>
      </w:r>
      <w:r w:rsidRPr="00993785">
        <w:rPr>
          <w:rFonts w:ascii="Garamond" w:eastAsia="EB Garamond" w:hAnsi="Garamond" w:cs="EB Garamond"/>
        </w:rPr>
        <w:t>directive</w:t>
      </w:r>
      <w:r w:rsidR="000153E4" w:rsidRPr="00993785">
        <w:rPr>
          <w:rFonts w:ascii="Garamond" w:eastAsia="EB Garamond" w:hAnsi="Garamond" w:cs="EB Garamond"/>
        </w:rPr>
        <w:t>-</w:t>
      </w:r>
      <w:r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 xml:space="preserve">PAD, but we see no reason to think </w:t>
      </w:r>
      <w:r w:rsidR="003E1B1B">
        <w:rPr>
          <w:rFonts w:ascii="Garamond" w:eastAsia="EB Garamond" w:hAnsi="Garamond" w:cs="EB Garamond"/>
        </w:rPr>
        <w:t xml:space="preserve">that </w:t>
      </w:r>
      <w:r w:rsidRPr="00993785">
        <w:rPr>
          <w:rFonts w:ascii="Garamond" w:eastAsia="EB Garamond" w:hAnsi="Garamond" w:cs="EB Garamond"/>
        </w:rPr>
        <w:t xml:space="preserve">the risks must </w:t>
      </w:r>
      <w:r w:rsidR="0093619A" w:rsidRPr="00993785">
        <w:rPr>
          <w:rFonts w:ascii="Garamond" w:eastAsia="EB Garamond" w:hAnsi="Garamond" w:cs="EB Garamond"/>
        </w:rPr>
        <w:t xml:space="preserve">in principle </w:t>
      </w:r>
      <w:r w:rsidRPr="00993785">
        <w:rPr>
          <w:rFonts w:ascii="Garamond" w:eastAsia="EB Garamond" w:hAnsi="Garamond" w:cs="EB Garamond"/>
        </w:rPr>
        <w:t xml:space="preserve">be so large </w:t>
      </w:r>
      <w:r w:rsidR="0093619A" w:rsidRPr="00993785">
        <w:rPr>
          <w:rFonts w:ascii="Garamond" w:eastAsia="EB Garamond" w:hAnsi="Garamond" w:cs="EB Garamond"/>
        </w:rPr>
        <w:t xml:space="preserve">so as </w:t>
      </w:r>
      <w:r w:rsidRPr="00993785">
        <w:rPr>
          <w:rFonts w:ascii="Garamond" w:eastAsia="EB Garamond" w:hAnsi="Garamond" w:cs="EB Garamond"/>
        </w:rPr>
        <w:t xml:space="preserve">to outweigh the benefits it </w:t>
      </w:r>
      <w:r w:rsidR="0093619A" w:rsidRPr="00993785">
        <w:rPr>
          <w:rFonts w:ascii="Garamond" w:eastAsia="EB Garamond" w:hAnsi="Garamond" w:cs="EB Garamond"/>
        </w:rPr>
        <w:t>may confer to patients</w:t>
      </w:r>
      <w:r w:rsidRPr="00993785">
        <w:rPr>
          <w:rFonts w:ascii="Garamond" w:eastAsia="EB Garamond" w:hAnsi="Garamond" w:cs="EB Garamond"/>
        </w:rPr>
        <w:t xml:space="preserve">. But again, whether </w:t>
      </w:r>
      <w:r w:rsidR="00356AC0" w:rsidRPr="00993785">
        <w:rPr>
          <w:rFonts w:ascii="Garamond" w:eastAsia="EB Garamond" w:hAnsi="Garamond" w:cs="EB Garamond"/>
        </w:rPr>
        <w:t>these risks do in practice outweigh these benefits is</w:t>
      </w:r>
      <w:r w:rsidRPr="00993785">
        <w:rPr>
          <w:rFonts w:ascii="Garamond" w:eastAsia="EB Garamond" w:hAnsi="Garamond" w:cs="EB Garamond"/>
        </w:rPr>
        <w:t xml:space="preserve"> another matter. </w:t>
      </w:r>
      <w:r w:rsidR="0034454D">
        <w:rPr>
          <w:rFonts w:ascii="Garamond" w:eastAsia="EB Garamond" w:hAnsi="Garamond" w:cs="EB Garamond"/>
        </w:rPr>
        <w:t>We discuss this in Section 4</w:t>
      </w:r>
      <w:r w:rsidRPr="00993785">
        <w:rPr>
          <w:rFonts w:ascii="Garamond" w:eastAsia="EB Garamond" w:hAnsi="Garamond" w:cs="EB Garamond"/>
        </w:rPr>
        <w:t xml:space="preserve">. </w:t>
      </w:r>
    </w:p>
    <w:p w14:paraId="0CB76E2A" w14:textId="77777777" w:rsidR="00FF24AE" w:rsidRPr="00993785" w:rsidRDefault="00FF24AE" w:rsidP="00FF24AE">
      <w:pPr>
        <w:spacing w:line="480" w:lineRule="auto"/>
        <w:ind w:firstLine="720"/>
        <w:jc w:val="both"/>
        <w:rPr>
          <w:rFonts w:ascii="Garamond" w:eastAsia="EB Garamond" w:hAnsi="Garamond" w:cs="EB Garamond"/>
        </w:rPr>
      </w:pPr>
    </w:p>
    <w:p w14:paraId="606F835D" w14:textId="25E718A3" w:rsidR="00FF24AE" w:rsidRPr="00993785" w:rsidRDefault="00FF24AE" w:rsidP="00FF24AE">
      <w:pPr>
        <w:spacing w:line="480" w:lineRule="auto"/>
        <w:jc w:val="both"/>
        <w:rPr>
          <w:rFonts w:ascii="Garamond" w:eastAsia="EB Garamond" w:hAnsi="Garamond" w:cs="EB Garamond"/>
          <w:b/>
        </w:rPr>
      </w:pPr>
      <w:r w:rsidRPr="00993785">
        <w:rPr>
          <w:rFonts w:ascii="Garamond" w:eastAsia="EB Garamond" w:hAnsi="Garamond" w:cs="EB Garamond"/>
          <w:b/>
        </w:rPr>
        <w:lastRenderedPageBreak/>
        <w:t>3.</w:t>
      </w:r>
      <w:r w:rsidR="00DF3997" w:rsidRPr="00993785">
        <w:rPr>
          <w:rFonts w:ascii="Garamond" w:eastAsia="EB Garamond" w:hAnsi="Garamond" w:cs="EB Garamond"/>
          <w:b/>
        </w:rPr>
        <w:t>4</w:t>
      </w:r>
      <w:r w:rsidRPr="00993785">
        <w:rPr>
          <w:rFonts w:ascii="Garamond" w:eastAsia="EB Garamond" w:hAnsi="Garamond" w:cs="EB Garamond"/>
          <w:b/>
        </w:rPr>
        <w:t>—Appeal to the Lack of Advance Consent</w:t>
      </w:r>
    </w:p>
    <w:p w14:paraId="1AB4A7BE" w14:textId="7A15F024" w:rsidR="00FF24AE" w:rsidRPr="00993785" w:rsidRDefault="00072335" w:rsidP="00EA3155">
      <w:pPr>
        <w:spacing w:line="480" w:lineRule="auto"/>
        <w:jc w:val="both"/>
        <w:rPr>
          <w:rFonts w:ascii="Garamond" w:eastAsia="EB Garamond" w:hAnsi="Garamond" w:cs="EB Garamond"/>
        </w:rPr>
      </w:pPr>
      <w:r w:rsidRPr="00993785">
        <w:rPr>
          <w:rFonts w:ascii="Garamond" w:eastAsia="EB Garamond" w:hAnsi="Garamond" w:cs="EB Garamond"/>
        </w:rPr>
        <w:t xml:space="preserve">When defending </w:t>
      </w:r>
      <w:r w:rsidR="00FF24AE" w:rsidRPr="00993785">
        <w:rPr>
          <w:rFonts w:ascii="Garamond" w:eastAsia="EB Garamond" w:hAnsi="Garamond" w:cs="EB Garamond"/>
        </w:rPr>
        <w:t xml:space="preserve">advance directive-requested </w:t>
      </w:r>
      <w:r w:rsidRPr="00993785">
        <w:rPr>
          <w:rFonts w:ascii="Garamond" w:eastAsia="EB Garamond" w:hAnsi="Garamond" w:cs="EB Garamond"/>
        </w:rPr>
        <w:t xml:space="preserve">PAD, the final objection we considered was that the right not to be killed may be the kind of right that can only be waived contemporaneously. We argued in response that the right to be killed can stay in effect for a considerable length of time, so </w:t>
      </w:r>
      <w:r w:rsidR="000B63B9" w:rsidRPr="00993785">
        <w:rPr>
          <w:rFonts w:ascii="Garamond" w:eastAsia="EB Garamond" w:hAnsi="Garamond" w:cs="EB Garamond"/>
        </w:rPr>
        <w:t xml:space="preserve">advance directive-requested </w:t>
      </w:r>
      <w:r w:rsidRPr="00993785">
        <w:rPr>
          <w:rFonts w:ascii="Garamond" w:eastAsia="EB Garamond" w:hAnsi="Garamond" w:cs="EB Garamond"/>
        </w:rPr>
        <w:t xml:space="preserve">PAD can be permissible. Even so, this response does not undercut this objection when it is aimed at </w:t>
      </w:r>
      <w:r w:rsidR="000B63B9" w:rsidRPr="00993785">
        <w:rPr>
          <w:rFonts w:ascii="Garamond" w:eastAsia="EB Garamond" w:hAnsi="Garamond" w:cs="EB Garamond"/>
        </w:rPr>
        <w:t>surrogate</w:t>
      </w:r>
      <w:r w:rsidR="000153E4" w:rsidRPr="00993785">
        <w:rPr>
          <w:rFonts w:ascii="Garamond" w:eastAsia="EB Garamond" w:hAnsi="Garamond" w:cs="EB Garamond"/>
        </w:rPr>
        <w:t>-</w:t>
      </w:r>
      <w:r w:rsidR="000B63B9" w:rsidRPr="00993785">
        <w:rPr>
          <w:rFonts w:ascii="Garamond" w:eastAsia="EB Garamond" w:hAnsi="Garamond" w:cs="EB Garamond"/>
        </w:rPr>
        <w:t>requested</w:t>
      </w:r>
      <w:r w:rsidR="000153E4" w:rsidRPr="00993785">
        <w:rPr>
          <w:rFonts w:ascii="Garamond" w:eastAsia="EB Garamond" w:hAnsi="Garamond" w:cs="EB Garamond"/>
        </w:rPr>
        <w:t xml:space="preserve"> </w:t>
      </w:r>
      <w:r w:rsidRPr="00993785">
        <w:rPr>
          <w:rFonts w:ascii="Garamond" w:eastAsia="EB Garamond" w:hAnsi="Garamond" w:cs="EB Garamond"/>
        </w:rPr>
        <w:t xml:space="preserve">PAD. This is because in </w:t>
      </w:r>
      <w:r w:rsidR="000B63B9" w:rsidRPr="00993785">
        <w:rPr>
          <w:rFonts w:ascii="Garamond" w:eastAsia="EB Garamond" w:hAnsi="Garamond" w:cs="EB Garamond"/>
        </w:rPr>
        <w:t>the latter kind of case,</w:t>
      </w:r>
      <w:r w:rsidRPr="00993785">
        <w:rPr>
          <w:rFonts w:ascii="Garamond" w:eastAsia="EB Garamond" w:hAnsi="Garamond" w:cs="EB Garamond"/>
        </w:rPr>
        <w:t xml:space="preserve"> the patient never waives their right not to be killed. And even if </w:t>
      </w:r>
      <w:r w:rsidRPr="00993785">
        <w:rPr>
          <w:rFonts w:ascii="Garamond" w:eastAsia="EB Garamond" w:hAnsi="Garamond" w:cs="EB Garamond"/>
          <w:i/>
        </w:rPr>
        <w:t>we</w:t>
      </w:r>
      <w:r w:rsidRPr="00993785">
        <w:rPr>
          <w:rFonts w:ascii="Garamond" w:eastAsia="EB Garamond" w:hAnsi="Garamond" w:cs="EB Garamond"/>
        </w:rPr>
        <w:t xml:space="preserve"> can waive our right not to be killed in advance, surrogates may not be able to waive our right not to be killed on our behalf.</w:t>
      </w:r>
    </w:p>
    <w:p w14:paraId="0F95E70B" w14:textId="3A583581" w:rsidR="00072335" w:rsidRPr="00993785" w:rsidRDefault="00072335" w:rsidP="00FF24AE">
      <w:pPr>
        <w:spacing w:line="480" w:lineRule="auto"/>
        <w:ind w:firstLine="720"/>
        <w:jc w:val="both"/>
        <w:rPr>
          <w:rFonts w:ascii="Garamond" w:eastAsia="EB Garamond" w:hAnsi="Garamond" w:cs="EB Garamond"/>
        </w:rPr>
      </w:pPr>
      <w:r w:rsidRPr="00993785">
        <w:rPr>
          <w:rFonts w:ascii="Garamond" w:eastAsia="EB Garamond" w:hAnsi="Garamond" w:cs="EB Garamond"/>
        </w:rPr>
        <w:t xml:space="preserve">We contend that in some cases of </w:t>
      </w:r>
      <w:r w:rsidR="000B63B9" w:rsidRPr="00993785">
        <w:rPr>
          <w:rFonts w:ascii="Garamond" w:eastAsia="EB Garamond" w:hAnsi="Garamond" w:cs="EB Garamond"/>
        </w:rPr>
        <w:t>surrogate</w:t>
      </w:r>
      <w:r w:rsidRPr="00993785">
        <w:rPr>
          <w:rFonts w:ascii="Garamond" w:eastAsia="EB Garamond" w:hAnsi="Garamond" w:cs="EB Garamond"/>
        </w:rPr>
        <w:t>-</w:t>
      </w:r>
      <w:r w:rsidR="000B63B9" w:rsidRPr="00993785">
        <w:rPr>
          <w:rFonts w:ascii="Garamond" w:eastAsia="EB Garamond" w:hAnsi="Garamond" w:cs="EB Garamond"/>
        </w:rPr>
        <w:t xml:space="preserve">requested </w:t>
      </w:r>
      <w:r w:rsidRPr="00993785">
        <w:rPr>
          <w:rFonts w:ascii="Garamond" w:eastAsia="EB Garamond" w:hAnsi="Garamond" w:cs="EB Garamond"/>
        </w:rPr>
        <w:t xml:space="preserve">PAD, the patient does in fact waive their right not to be killed, and in others the surrogate may be able to waive </w:t>
      </w:r>
      <w:r w:rsidR="0013718F">
        <w:rPr>
          <w:rFonts w:ascii="Garamond" w:eastAsia="EB Garamond" w:hAnsi="Garamond" w:cs="EB Garamond"/>
        </w:rPr>
        <w:t>that</w:t>
      </w:r>
      <w:r w:rsidR="0013718F" w:rsidRPr="00993785">
        <w:rPr>
          <w:rFonts w:ascii="Garamond" w:eastAsia="EB Garamond" w:hAnsi="Garamond" w:cs="EB Garamond"/>
        </w:rPr>
        <w:t xml:space="preserve"> </w:t>
      </w:r>
      <w:r w:rsidRPr="00993785">
        <w:rPr>
          <w:rFonts w:ascii="Garamond" w:eastAsia="EB Garamond" w:hAnsi="Garamond" w:cs="EB Garamond"/>
        </w:rPr>
        <w:t xml:space="preserve">right on the patient’s behalf. Consider again the case of </w:t>
      </w:r>
      <w:r w:rsidR="000B63B9" w:rsidRPr="00993785">
        <w:rPr>
          <w:rFonts w:ascii="Garamond" w:eastAsia="EB Garamond" w:hAnsi="Garamond" w:cs="EB Garamond"/>
        </w:rPr>
        <w:t>Francis</w:t>
      </w:r>
      <w:r w:rsidRPr="00993785">
        <w:rPr>
          <w:rFonts w:ascii="Garamond" w:eastAsia="EB Garamond" w:hAnsi="Garamond" w:cs="EB Garamond"/>
        </w:rPr>
        <w:t xml:space="preserve">, who signed an advance directive that gave his wife the ability to dictate his end of life care, up to and including PAD. </w:t>
      </w:r>
      <w:r w:rsidR="000B63B9" w:rsidRPr="00993785">
        <w:rPr>
          <w:rFonts w:ascii="Garamond" w:eastAsia="EB Garamond" w:hAnsi="Garamond" w:cs="EB Garamond"/>
        </w:rPr>
        <w:t>Francis</w:t>
      </w:r>
      <w:r w:rsidRPr="00993785">
        <w:rPr>
          <w:rFonts w:ascii="Garamond" w:eastAsia="EB Garamond" w:hAnsi="Garamond" w:cs="EB Garamond"/>
        </w:rPr>
        <w:t xml:space="preserve"> explicitly appointed the surrogate as someone who may request PAD on </w:t>
      </w:r>
      <w:r w:rsidR="000B63B9" w:rsidRPr="00993785">
        <w:rPr>
          <w:rFonts w:ascii="Garamond" w:eastAsia="EB Garamond" w:hAnsi="Garamond" w:cs="EB Garamond"/>
        </w:rPr>
        <w:t>his</w:t>
      </w:r>
      <w:r w:rsidRPr="00993785">
        <w:rPr>
          <w:rFonts w:ascii="Garamond" w:eastAsia="EB Garamond" w:hAnsi="Garamond" w:cs="EB Garamond"/>
        </w:rPr>
        <w:t xml:space="preserve"> behalf. If we accept that a patient can waive their right not to be killed by using an advance directive to describe the conditions under which they would like to receive PAD, then we must accept that they can waive that right by specifying the conditions </w:t>
      </w:r>
      <w:r w:rsidR="000B63B9" w:rsidRPr="00993785">
        <w:rPr>
          <w:rFonts w:ascii="Garamond" w:eastAsia="EB Garamond" w:hAnsi="Garamond" w:cs="EB Garamond"/>
        </w:rPr>
        <w:t>under which they would like someone else to decide whether to request PAD on their behalf</w:t>
      </w:r>
      <w:r w:rsidRPr="00993785">
        <w:rPr>
          <w:rFonts w:ascii="Garamond" w:eastAsia="EB Garamond" w:hAnsi="Garamond" w:cs="EB Garamond"/>
        </w:rPr>
        <w:t xml:space="preserve">. </w:t>
      </w:r>
    </w:p>
    <w:p w14:paraId="04CD3797" w14:textId="0BACD2D3" w:rsidR="00072335" w:rsidRPr="00993785" w:rsidRDefault="00072335" w:rsidP="00EA3155">
      <w:pPr>
        <w:spacing w:line="480" w:lineRule="auto"/>
        <w:jc w:val="both"/>
        <w:rPr>
          <w:rFonts w:ascii="Garamond" w:eastAsia="EB Garamond" w:hAnsi="Garamond" w:cs="EB Garamond"/>
        </w:rPr>
      </w:pPr>
      <w:r w:rsidRPr="00993785">
        <w:rPr>
          <w:rFonts w:ascii="Garamond" w:eastAsia="EB Garamond" w:hAnsi="Garamond" w:cs="EB Garamond"/>
        </w:rPr>
        <w:tab/>
        <w:t xml:space="preserve">Not all advance directives specify specific ranges of decisions that surrogates are allowed to make, and not all advance directives name specific surrogates. Moreover, most people lack advance directives. </w:t>
      </w:r>
      <w:r w:rsidR="000B63B9" w:rsidRPr="00993785">
        <w:rPr>
          <w:rFonts w:ascii="Garamond" w:eastAsia="EB Garamond" w:hAnsi="Garamond" w:cs="EB Garamond"/>
        </w:rPr>
        <w:t>In</w:t>
      </w:r>
      <w:r w:rsidRPr="00993785">
        <w:rPr>
          <w:rFonts w:ascii="Garamond" w:eastAsia="EB Garamond" w:hAnsi="Garamond" w:cs="EB Garamond"/>
        </w:rPr>
        <w:t xml:space="preserve"> at least some of these cases, </w:t>
      </w:r>
      <w:r w:rsidR="000B63B9" w:rsidRPr="00993785">
        <w:rPr>
          <w:rFonts w:ascii="Garamond" w:eastAsia="EB Garamond" w:hAnsi="Garamond" w:cs="EB Garamond"/>
        </w:rPr>
        <w:t>we think that</w:t>
      </w:r>
      <w:r w:rsidRPr="00993785">
        <w:rPr>
          <w:rFonts w:ascii="Garamond" w:eastAsia="EB Garamond" w:hAnsi="Garamond" w:cs="EB Garamond"/>
        </w:rPr>
        <w:t xml:space="preserve"> surrogates may waive patients’ rights not to be killed on their behalf. We must accept this on pain of either denying that we should defer to surrogates in a host of cases where it is clear that we should, or else by arbitrarily distinguishing the right not to be killed from other rights by claiming that even if these other rights can be waived on our behalf by </w:t>
      </w:r>
      <w:r w:rsidR="00F0117B" w:rsidRPr="00993785">
        <w:rPr>
          <w:rFonts w:ascii="Garamond" w:eastAsia="EB Garamond" w:hAnsi="Garamond" w:cs="EB Garamond"/>
        </w:rPr>
        <w:t xml:space="preserve">surrogates who have not been appointed </w:t>
      </w:r>
      <w:r w:rsidR="00A76493" w:rsidRPr="00993785">
        <w:rPr>
          <w:rFonts w:ascii="Garamond" w:eastAsia="EB Garamond" w:hAnsi="Garamond" w:cs="EB Garamond"/>
        </w:rPr>
        <w:t>in an advance directive</w:t>
      </w:r>
      <w:r w:rsidRPr="00993785">
        <w:rPr>
          <w:rFonts w:ascii="Garamond" w:eastAsia="EB Garamond" w:hAnsi="Garamond" w:cs="EB Garamond"/>
        </w:rPr>
        <w:t xml:space="preserve">, the right not to be killed cannot be. </w:t>
      </w:r>
    </w:p>
    <w:p w14:paraId="02847FB0" w14:textId="65096476" w:rsidR="00072335" w:rsidRPr="00993785" w:rsidRDefault="00072335" w:rsidP="007C64DB">
      <w:pPr>
        <w:spacing w:line="480" w:lineRule="auto"/>
        <w:ind w:firstLine="720"/>
        <w:jc w:val="both"/>
        <w:rPr>
          <w:rFonts w:ascii="Garamond" w:eastAsia="EB Garamond" w:hAnsi="Garamond" w:cs="EB Garamond"/>
        </w:rPr>
      </w:pPr>
      <w:r w:rsidRPr="00993785">
        <w:rPr>
          <w:rFonts w:ascii="Garamond" w:eastAsia="EB Garamond" w:hAnsi="Garamond" w:cs="EB Garamond"/>
        </w:rPr>
        <w:lastRenderedPageBreak/>
        <w:t xml:space="preserve">We must think that </w:t>
      </w:r>
      <w:r w:rsidR="00A76493" w:rsidRPr="00993785">
        <w:rPr>
          <w:rFonts w:ascii="Garamond" w:eastAsia="EB Garamond" w:hAnsi="Garamond" w:cs="EB Garamond"/>
        </w:rPr>
        <w:t xml:space="preserve">these </w:t>
      </w:r>
      <w:r w:rsidR="002564D0" w:rsidRPr="00993785">
        <w:rPr>
          <w:rFonts w:ascii="Garamond" w:eastAsia="EB Garamond" w:hAnsi="Garamond" w:cs="EB Garamond"/>
        </w:rPr>
        <w:t>‘</w:t>
      </w:r>
      <w:r w:rsidRPr="00993785">
        <w:rPr>
          <w:rFonts w:ascii="Garamond" w:eastAsia="EB Garamond" w:hAnsi="Garamond" w:cs="EB Garamond"/>
        </w:rPr>
        <w:t>unappointed</w:t>
      </w:r>
      <w:r w:rsidR="002564D0" w:rsidRPr="00993785">
        <w:rPr>
          <w:rFonts w:ascii="Garamond" w:eastAsia="EB Garamond" w:hAnsi="Garamond" w:cs="EB Garamond"/>
        </w:rPr>
        <w:t>’</w:t>
      </w:r>
      <w:r w:rsidRPr="00993785">
        <w:rPr>
          <w:rFonts w:ascii="Garamond" w:eastAsia="EB Garamond" w:hAnsi="Garamond" w:cs="EB Garamond"/>
        </w:rPr>
        <w:t xml:space="preserve"> surrogates can waive at least some of our rights on our behalf when we lack decision-making capacity, including </w:t>
      </w:r>
      <w:r w:rsidR="007C64DB" w:rsidRPr="00993785">
        <w:rPr>
          <w:rFonts w:ascii="Garamond" w:eastAsia="EB Garamond" w:hAnsi="Garamond" w:cs="EB Garamond"/>
        </w:rPr>
        <w:t xml:space="preserve">our right to access life-saving care. We see this waiver in cases where </w:t>
      </w:r>
      <w:r w:rsidRPr="00993785">
        <w:rPr>
          <w:rFonts w:ascii="Garamond" w:eastAsia="EB Garamond" w:hAnsi="Garamond" w:cs="EB Garamond"/>
        </w:rPr>
        <w:t xml:space="preserve">physicians grant unappointed surrogates’ requests to withhold or withdraw life-sustaining treatment. If we think </w:t>
      </w:r>
      <w:r w:rsidR="003E1B1B">
        <w:rPr>
          <w:rFonts w:ascii="Garamond" w:eastAsia="EB Garamond" w:hAnsi="Garamond" w:cs="EB Garamond"/>
        </w:rPr>
        <w:t xml:space="preserve">that </w:t>
      </w:r>
      <w:r w:rsidRPr="00993785">
        <w:rPr>
          <w:rFonts w:ascii="Garamond" w:eastAsia="EB Garamond" w:hAnsi="Garamond" w:cs="EB Garamond"/>
        </w:rPr>
        <w:t>this is permissible, then we must think that unappointed surrogates can also waive our rights to life-saving care. Why would unappointed surrogates be able to waive this right but not also be able to waive our right not to be killed? Unlike the right to life-saving care, the right not to be killed is ordinarily a right to non-interference. It stems from our sovereignty. It protects our ability to control what happens in and to our bodies. But in contexts where patients lack that ability</w:t>
      </w:r>
      <w:r w:rsidR="007C64DB" w:rsidRPr="00993785">
        <w:rPr>
          <w:rFonts w:ascii="Garamond" w:eastAsia="EB Garamond" w:hAnsi="Garamond" w:cs="EB Garamond"/>
        </w:rPr>
        <w:t>—</w:t>
      </w:r>
      <w:r w:rsidRPr="00993785">
        <w:rPr>
          <w:rFonts w:ascii="Garamond" w:eastAsia="EB Garamond" w:hAnsi="Garamond" w:cs="EB Garamond"/>
        </w:rPr>
        <w:t>and especially in cases where patients irreversibly lack that ability</w:t>
      </w:r>
      <w:r w:rsidR="007C64DB" w:rsidRPr="00993785">
        <w:rPr>
          <w:rFonts w:ascii="Garamond" w:eastAsia="EB Garamond" w:hAnsi="Garamond" w:cs="EB Garamond"/>
        </w:rPr>
        <w:t>—</w:t>
      </w:r>
      <w:r w:rsidRPr="00993785">
        <w:rPr>
          <w:rFonts w:ascii="Garamond" w:eastAsia="EB Garamond" w:hAnsi="Garamond" w:cs="EB Garamond"/>
        </w:rPr>
        <w:t xml:space="preserve">both of these rights protect the same strong interest: our interest in staying alive when it would be good for us to stay alive. Surrogates waive these rights on patients’ behalf precisely when and because they think </w:t>
      </w:r>
      <w:r w:rsidR="003E1B1B">
        <w:rPr>
          <w:rFonts w:ascii="Garamond" w:eastAsia="EB Garamond" w:hAnsi="Garamond" w:cs="EB Garamond"/>
        </w:rPr>
        <w:t xml:space="preserve">that </w:t>
      </w:r>
      <w:r w:rsidRPr="00993785">
        <w:rPr>
          <w:rFonts w:ascii="Garamond" w:eastAsia="EB Garamond" w:hAnsi="Garamond" w:cs="EB Garamond"/>
        </w:rPr>
        <w:t>the patients no longer have such an interest</w:t>
      </w:r>
      <w:r w:rsidR="007C64DB" w:rsidRPr="00993785">
        <w:rPr>
          <w:rFonts w:ascii="Garamond" w:eastAsia="EB Garamond" w:hAnsi="Garamond" w:cs="EB Garamond"/>
        </w:rPr>
        <w:t xml:space="preserve">, or in cases wherein they think that the patients’ interest in continuing to live is outweighed by other interests, such as an interest in not </w:t>
      </w:r>
      <w:r w:rsidR="002B5CD1">
        <w:rPr>
          <w:rFonts w:ascii="Garamond" w:eastAsia="EB Garamond" w:hAnsi="Garamond" w:cs="EB Garamond"/>
        </w:rPr>
        <w:t>suffering</w:t>
      </w:r>
      <w:r w:rsidRPr="00993785">
        <w:rPr>
          <w:rFonts w:ascii="Garamond" w:eastAsia="EB Garamond" w:hAnsi="Garamond" w:cs="EB Garamond"/>
        </w:rPr>
        <w:t xml:space="preserve">. In both cases, their concern is with the patient’s nonalienation. </w:t>
      </w:r>
      <w:r w:rsidR="007C64DB" w:rsidRPr="00993785">
        <w:rPr>
          <w:rFonts w:ascii="Garamond" w:eastAsia="EB Garamond" w:hAnsi="Garamond" w:cs="EB Garamond"/>
        </w:rPr>
        <w:t>It</w:t>
      </w:r>
      <w:r w:rsidRPr="00993785">
        <w:rPr>
          <w:rFonts w:ascii="Garamond" w:eastAsia="EB Garamond" w:hAnsi="Garamond" w:cs="EB Garamond"/>
        </w:rPr>
        <w:t xml:space="preserve"> would be arbitrary </w:t>
      </w:r>
      <w:r w:rsidR="007C64DB" w:rsidRPr="00993785">
        <w:rPr>
          <w:rFonts w:ascii="Garamond" w:eastAsia="EB Garamond" w:hAnsi="Garamond" w:cs="EB Garamond"/>
        </w:rPr>
        <w:t>to grant</w:t>
      </w:r>
      <w:r w:rsidRPr="00993785">
        <w:rPr>
          <w:rFonts w:ascii="Garamond" w:eastAsia="EB Garamond" w:hAnsi="Garamond" w:cs="EB Garamond"/>
        </w:rPr>
        <w:t xml:space="preserve"> </w:t>
      </w:r>
      <w:r w:rsidR="005B1297">
        <w:rPr>
          <w:rFonts w:ascii="Garamond" w:eastAsia="EB Garamond" w:hAnsi="Garamond" w:cs="EB Garamond"/>
        </w:rPr>
        <w:t xml:space="preserve">an </w:t>
      </w:r>
      <w:r w:rsidRPr="00993785">
        <w:rPr>
          <w:rFonts w:ascii="Garamond" w:eastAsia="EB Garamond" w:hAnsi="Garamond" w:cs="EB Garamond"/>
        </w:rPr>
        <w:t xml:space="preserve">unappointed surrogate </w:t>
      </w:r>
      <w:r w:rsidR="007C64DB" w:rsidRPr="00993785">
        <w:rPr>
          <w:rFonts w:ascii="Garamond" w:eastAsia="EB Garamond" w:hAnsi="Garamond" w:cs="EB Garamond"/>
        </w:rPr>
        <w:t xml:space="preserve">permission to waive a patient’s right to access life-saving care on grounds of nonalienation, but not </w:t>
      </w:r>
      <w:r w:rsidR="005B1297">
        <w:rPr>
          <w:rFonts w:ascii="Garamond" w:eastAsia="EB Garamond" w:hAnsi="Garamond" w:cs="EB Garamond"/>
        </w:rPr>
        <w:t xml:space="preserve">to </w:t>
      </w:r>
      <w:r w:rsidR="000E0BB4" w:rsidRPr="00993785">
        <w:rPr>
          <w:rFonts w:ascii="Garamond" w:eastAsia="EB Garamond" w:hAnsi="Garamond" w:cs="EB Garamond"/>
        </w:rPr>
        <w:t xml:space="preserve">grant them permission </w:t>
      </w:r>
      <w:r w:rsidR="007C64DB" w:rsidRPr="00993785">
        <w:rPr>
          <w:rFonts w:ascii="Garamond" w:eastAsia="EB Garamond" w:hAnsi="Garamond" w:cs="EB Garamond"/>
        </w:rPr>
        <w:t>to waive a patient’s right not to be killed on the same grounds.</w:t>
      </w:r>
      <w:r w:rsidRPr="00993785">
        <w:rPr>
          <w:rFonts w:ascii="Garamond" w:eastAsia="EB Garamond" w:hAnsi="Garamond" w:cs="EB Garamond"/>
        </w:rPr>
        <w:t xml:space="preserve"> </w:t>
      </w:r>
    </w:p>
    <w:p w14:paraId="30233717" w14:textId="345FF176" w:rsidR="00072335" w:rsidRPr="00993785" w:rsidRDefault="00072335" w:rsidP="006C00F5">
      <w:pPr>
        <w:spacing w:line="480" w:lineRule="auto"/>
        <w:ind w:firstLine="720"/>
        <w:jc w:val="both"/>
        <w:rPr>
          <w:rFonts w:ascii="Garamond" w:eastAsia="EB Garamond" w:hAnsi="Garamond" w:cs="EB Garamond"/>
        </w:rPr>
      </w:pPr>
      <w:r w:rsidRPr="00993785">
        <w:rPr>
          <w:rFonts w:ascii="Garamond" w:eastAsia="EB Garamond" w:hAnsi="Garamond" w:cs="EB Garamond"/>
        </w:rPr>
        <w:t xml:space="preserve">If these arguments are correct, then granting PAD requests from unappointed surrogates does not necessarily violate patients’ rights not to be killed. </w:t>
      </w:r>
      <w:r w:rsidR="006C00F5" w:rsidRPr="00993785">
        <w:rPr>
          <w:rFonts w:ascii="Garamond" w:eastAsia="EB Garamond" w:hAnsi="Garamond" w:cs="EB Garamond"/>
        </w:rPr>
        <w:t>We grant, however, that there may be additional risks associated with surrogate decision</w:t>
      </w:r>
      <w:r w:rsidR="003E1B1B">
        <w:rPr>
          <w:rFonts w:ascii="Garamond" w:eastAsia="EB Garamond" w:hAnsi="Garamond" w:cs="EB Garamond"/>
        </w:rPr>
        <w:t xml:space="preserve"> </w:t>
      </w:r>
      <w:r w:rsidR="006C00F5" w:rsidRPr="00993785">
        <w:rPr>
          <w:rFonts w:ascii="Garamond" w:eastAsia="EB Garamond" w:hAnsi="Garamond" w:cs="EB Garamond"/>
        </w:rPr>
        <w:t xml:space="preserve">makers who have not been appointed by, and may not even be known by, the incapacitated patient. While these risks may not rule out PAD requests from such surrogates in principle, </w:t>
      </w:r>
      <w:r w:rsidR="005B1297">
        <w:rPr>
          <w:rFonts w:ascii="Garamond" w:eastAsia="EB Garamond" w:hAnsi="Garamond" w:cs="EB Garamond"/>
        </w:rPr>
        <w:t xml:space="preserve">we will argue in Section 4 that </w:t>
      </w:r>
      <w:r w:rsidR="006C00F5" w:rsidRPr="00993785">
        <w:rPr>
          <w:rFonts w:ascii="Garamond" w:eastAsia="EB Garamond" w:hAnsi="Garamond" w:cs="EB Garamond"/>
        </w:rPr>
        <w:t xml:space="preserve">they </w:t>
      </w:r>
      <w:r w:rsidR="002B5CD1">
        <w:rPr>
          <w:rFonts w:ascii="Garamond" w:eastAsia="EB Garamond" w:hAnsi="Garamond" w:cs="EB Garamond"/>
        </w:rPr>
        <w:t>likely</w:t>
      </w:r>
      <w:r w:rsidR="002B5CD1" w:rsidRPr="00993785">
        <w:rPr>
          <w:rFonts w:ascii="Garamond" w:eastAsia="EB Garamond" w:hAnsi="Garamond" w:cs="EB Garamond"/>
        </w:rPr>
        <w:t xml:space="preserve"> </w:t>
      </w:r>
      <w:r w:rsidR="006C00F5" w:rsidRPr="00993785">
        <w:rPr>
          <w:rFonts w:ascii="Garamond" w:eastAsia="EB Garamond" w:hAnsi="Garamond" w:cs="EB Garamond"/>
        </w:rPr>
        <w:t xml:space="preserve">do so in practice. </w:t>
      </w:r>
      <w:r w:rsidR="007C64DB" w:rsidRPr="00993785">
        <w:rPr>
          <w:rFonts w:ascii="Garamond" w:eastAsia="EB Garamond" w:hAnsi="Garamond" w:cs="EB Garamond"/>
        </w:rPr>
        <w:t xml:space="preserve">It is to this matter that we shall now turn. </w:t>
      </w:r>
    </w:p>
    <w:p w14:paraId="32793147" w14:textId="77777777" w:rsidR="004105A5" w:rsidRPr="00993785" w:rsidRDefault="004105A5" w:rsidP="00C43370">
      <w:pPr>
        <w:spacing w:line="480" w:lineRule="auto"/>
        <w:jc w:val="both"/>
        <w:rPr>
          <w:rFonts w:ascii="Garamond" w:eastAsia="Garamond" w:hAnsi="Garamond" w:cs="Garamond"/>
        </w:rPr>
      </w:pPr>
    </w:p>
    <w:p w14:paraId="0D5D9EB2" w14:textId="7E49498D" w:rsidR="00C90902" w:rsidRPr="00993785" w:rsidRDefault="00C90902" w:rsidP="00EA3155">
      <w:pPr>
        <w:spacing w:line="480" w:lineRule="auto"/>
        <w:jc w:val="both"/>
        <w:outlineLvl w:val="0"/>
        <w:rPr>
          <w:rFonts w:ascii="Garamond" w:eastAsia="Garamond" w:hAnsi="Garamond" w:cs="Garamond"/>
          <w:b/>
          <w:sz w:val="28"/>
          <w:szCs w:val="28"/>
        </w:rPr>
      </w:pPr>
      <w:r w:rsidRPr="00993785">
        <w:rPr>
          <w:rFonts w:ascii="Garamond" w:eastAsia="Garamond" w:hAnsi="Garamond" w:cs="Garamond"/>
          <w:b/>
          <w:sz w:val="28"/>
          <w:szCs w:val="28"/>
        </w:rPr>
        <w:lastRenderedPageBreak/>
        <w:t xml:space="preserve">Section 4: Towards </w:t>
      </w:r>
      <w:r w:rsidRPr="00993785">
        <w:rPr>
          <w:rFonts w:ascii="Garamond" w:eastAsia="Garamond" w:hAnsi="Garamond" w:cs="Garamond"/>
          <w:b/>
          <w:smallCaps/>
          <w:sz w:val="28"/>
          <w:szCs w:val="28"/>
        </w:rPr>
        <w:t xml:space="preserve">Legal Advance </w:t>
      </w:r>
      <w:r w:rsidR="00843CB9" w:rsidRPr="00993785">
        <w:rPr>
          <w:rFonts w:ascii="Garamond" w:eastAsia="Garamond" w:hAnsi="Garamond" w:cs="Garamond"/>
          <w:b/>
          <w:smallCaps/>
          <w:sz w:val="28"/>
          <w:szCs w:val="28"/>
        </w:rPr>
        <w:t>PAD</w:t>
      </w:r>
      <w:r w:rsidRPr="00993785">
        <w:rPr>
          <w:rFonts w:ascii="Garamond" w:eastAsia="Garamond" w:hAnsi="Garamond" w:cs="Garamond"/>
          <w:b/>
          <w:smallCaps/>
          <w:sz w:val="28"/>
          <w:szCs w:val="28"/>
        </w:rPr>
        <w:t xml:space="preserve"> </w:t>
      </w:r>
      <w:r w:rsidRPr="00993785">
        <w:rPr>
          <w:rFonts w:ascii="Garamond" w:eastAsia="Garamond" w:hAnsi="Garamond" w:cs="Garamond"/>
          <w:b/>
          <w:sz w:val="28"/>
          <w:szCs w:val="28"/>
        </w:rPr>
        <w:t xml:space="preserve">and </w:t>
      </w:r>
      <w:r w:rsidRPr="00993785">
        <w:rPr>
          <w:rFonts w:ascii="Garamond" w:eastAsia="Garamond" w:hAnsi="Garamond" w:cs="Garamond"/>
          <w:b/>
          <w:smallCaps/>
          <w:sz w:val="28"/>
          <w:szCs w:val="28"/>
        </w:rPr>
        <w:t xml:space="preserve">Legal Surrogate </w:t>
      </w:r>
      <w:r w:rsidR="00843CB9" w:rsidRPr="00993785">
        <w:rPr>
          <w:rFonts w:ascii="Garamond" w:eastAsia="Garamond" w:hAnsi="Garamond" w:cs="Garamond"/>
          <w:b/>
          <w:smallCaps/>
          <w:sz w:val="28"/>
          <w:szCs w:val="28"/>
        </w:rPr>
        <w:t>PAD</w:t>
      </w:r>
    </w:p>
    <w:p w14:paraId="5B9DCE75" w14:textId="7B972467" w:rsidR="00C90902" w:rsidRPr="00993785" w:rsidRDefault="00C90902" w:rsidP="00EA3155">
      <w:pPr>
        <w:spacing w:line="480" w:lineRule="auto"/>
        <w:jc w:val="both"/>
        <w:rPr>
          <w:rFonts w:ascii="Garamond" w:eastAsia="Garamond" w:hAnsi="Garamond" w:cs="Garamond"/>
        </w:rPr>
      </w:pPr>
      <w:r w:rsidRPr="00993785">
        <w:rPr>
          <w:rFonts w:ascii="Garamond" w:eastAsia="Garamond" w:hAnsi="Garamond" w:cs="Garamond"/>
          <w:smallCaps/>
        </w:rPr>
        <w:t xml:space="preserve">Permissible Advance </w:t>
      </w:r>
      <w:r w:rsidR="00843CB9" w:rsidRPr="00993785">
        <w:rPr>
          <w:rFonts w:ascii="Garamond" w:eastAsia="Garamond" w:hAnsi="Garamond" w:cs="Garamond"/>
          <w:smallCaps/>
        </w:rPr>
        <w:t>PAD</w:t>
      </w:r>
      <w:r w:rsidRPr="00993785">
        <w:rPr>
          <w:rFonts w:ascii="Garamond" w:eastAsia="Garamond" w:hAnsi="Garamond" w:cs="Garamond"/>
        </w:rPr>
        <w:t xml:space="preserve"> and </w:t>
      </w:r>
      <w:r w:rsidRPr="00993785">
        <w:rPr>
          <w:rFonts w:ascii="Garamond" w:eastAsia="Garamond" w:hAnsi="Garamond" w:cs="Garamond"/>
          <w:smallCaps/>
        </w:rPr>
        <w:t xml:space="preserve">Permissible Surrogate </w:t>
      </w:r>
      <w:r w:rsidR="00843CB9" w:rsidRPr="00993785">
        <w:rPr>
          <w:rFonts w:ascii="Garamond" w:eastAsia="Garamond" w:hAnsi="Garamond" w:cs="Garamond"/>
          <w:smallCaps/>
        </w:rPr>
        <w:t>PAD</w:t>
      </w:r>
      <w:r w:rsidRPr="00993785">
        <w:rPr>
          <w:rFonts w:ascii="Garamond" w:eastAsia="Garamond" w:hAnsi="Garamond" w:cs="Garamond"/>
        </w:rPr>
        <w:t xml:space="preserve"> are modest claims, establishing only the in-principle permissibility of these two practices. We grant that, when it comes to </w:t>
      </w:r>
      <w:r w:rsidR="00433431" w:rsidRPr="00993785">
        <w:rPr>
          <w:rFonts w:ascii="Garamond" w:eastAsia="Garamond" w:hAnsi="Garamond" w:cs="Garamond"/>
        </w:rPr>
        <w:t>medical aid in dying</w:t>
      </w:r>
      <w:r w:rsidRPr="00993785">
        <w:rPr>
          <w:rFonts w:ascii="Garamond" w:eastAsia="Garamond" w:hAnsi="Garamond" w:cs="Garamond"/>
        </w:rPr>
        <w:t xml:space="preserve">, there may be large gaps between principle and practice. Even if </w:t>
      </w:r>
      <w:r w:rsidR="007C64DB"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 </w:t>
      </w:r>
      <w:r w:rsidR="007C64DB" w:rsidRPr="00993785">
        <w:rPr>
          <w:rFonts w:ascii="Garamond" w:eastAsia="Garamond" w:hAnsi="Garamond" w:cs="Garamond"/>
        </w:rPr>
        <w:t>surrogate-requested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are permissible in principle, their potential for abuse and harm might give us reason to object to their legalization.</w:t>
      </w:r>
    </w:p>
    <w:p w14:paraId="20941FEF" w14:textId="3D2F0168" w:rsidR="00994434" w:rsidRPr="00993785" w:rsidRDefault="00C90902" w:rsidP="00EA3155">
      <w:pPr>
        <w:spacing w:line="480" w:lineRule="auto"/>
        <w:ind w:firstLine="720"/>
        <w:jc w:val="both"/>
        <w:rPr>
          <w:rFonts w:ascii="Garamond" w:eastAsia="Garamond" w:hAnsi="Garamond" w:cs="Garamond"/>
        </w:rPr>
      </w:pPr>
      <w:r w:rsidRPr="00993785">
        <w:rPr>
          <w:rFonts w:ascii="Garamond" w:eastAsia="Garamond" w:hAnsi="Garamond" w:cs="Garamond"/>
        </w:rPr>
        <w:t xml:space="preserve">We will </w:t>
      </w:r>
      <w:r w:rsidR="007C64DB" w:rsidRPr="00993785">
        <w:rPr>
          <w:rFonts w:ascii="Garamond" w:eastAsia="Garamond" w:hAnsi="Garamond" w:cs="Garamond"/>
        </w:rPr>
        <w:t xml:space="preserve">conclude this paper by </w:t>
      </w:r>
      <w:r w:rsidRPr="00993785">
        <w:rPr>
          <w:rFonts w:ascii="Garamond" w:eastAsia="Garamond" w:hAnsi="Garamond" w:cs="Garamond"/>
        </w:rPr>
        <w:t xml:space="preserve">briefly </w:t>
      </w:r>
      <w:r w:rsidR="007C64DB" w:rsidRPr="00993785">
        <w:rPr>
          <w:rFonts w:ascii="Garamond" w:eastAsia="Garamond" w:hAnsi="Garamond" w:cs="Garamond"/>
        </w:rPr>
        <w:t>considering</w:t>
      </w:r>
      <w:r w:rsidRPr="00993785">
        <w:rPr>
          <w:rFonts w:ascii="Garamond" w:eastAsia="Garamond" w:hAnsi="Garamond" w:cs="Garamond"/>
        </w:rPr>
        <w:t xml:space="preserve"> concerns </w:t>
      </w:r>
      <w:r w:rsidR="00994434" w:rsidRPr="00993785">
        <w:rPr>
          <w:rFonts w:ascii="Garamond" w:eastAsia="Garamond" w:hAnsi="Garamond" w:cs="Garamond"/>
        </w:rPr>
        <w:t xml:space="preserve">about abuse and harm in relation to </w:t>
      </w:r>
      <w:r w:rsidR="007C64DB" w:rsidRPr="00993785">
        <w:rPr>
          <w:rFonts w:ascii="Garamond" w:eastAsia="Garamond" w:hAnsi="Garamond" w:cs="Garamond"/>
        </w:rPr>
        <w:t>both cases</w:t>
      </w:r>
      <w:r w:rsidRPr="00993785">
        <w:rPr>
          <w:rFonts w:ascii="Garamond" w:eastAsia="Garamond" w:hAnsi="Garamond" w:cs="Garamond"/>
        </w:rPr>
        <w:t>.</w:t>
      </w:r>
      <w:r w:rsidR="007C64DB" w:rsidRPr="00993785">
        <w:rPr>
          <w:rFonts w:ascii="Garamond" w:eastAsia="Garamond" w:hAnsi="Garamond" w:cs="Garamond"/>
        </w:rPr>
        <w:t xml:space="preserve"> The </w:t>
      </w:r>
      <w:r w:rsidRPr="00993785">
        <w:rPr>
          <w:rFonts w:ascii="Garamond" w:eastAsia="Garamond" w:hAnsi="Garamond" w:cs="Garamond"/>
        </w:rPr>
        <w:t>main questions</w:t>
      </w:r>
      <w:r w:rsidR="00994434" w:rsidRPr="00993785">
        <w:rPr>
          <w:rFonts w:ascii="Garamond" w:eastAsia="Garamond" w:hAnsi="Garamond" w:cs="Garamond"/>
        </w:rPr>
        <w:t xml:space="preserve"> we will ask are:</w:t>
      </w:r>
      <w:r w:rsidRPr="00993785">
        <w:rPr>
          <w:rFonts w:ascii="Garamond" w:eastAsia="Garamond" w:hAnsi="Garamond" w:cs="Garamond"/>
        </w:rPr>
        <w:t xml:space="preserve"> </w:t>
      </w:r>
      <w:r w:rsidR="00994434" w:rsidRPr="00993785">
        <w:rPr>
          <w:rFonts w:ascii="Garamond" w:eastAsia="Garamond" w:hAnsi="Garamond" w:cs="Garamond"/>
        </w:rPr>
        <w:t>does</w:t>
      </w:r>
      <w:r w:rsidRPr="00993785">
        <w:rPr>
          <w:rFonts w:ascii="Garamond" w:eastAsia="Garamond" w:hAnsi="Garamond" w:cs="Garamond"/>
        </w:rPr>
        <w:t xml:space="preserve"> legalizing these options present new risks over and above the risks already associated with already-legal options</w:t>
      </w:r>
      <w:r w:rsidR="00994434" w:rsidRPr="00993785">
        <w:rPr>
          <w:rFonts w:ascii="Garamond" w:eastAsia="Garamond" w:hAnsi="Garamond" w:cs="Garamond"/>
        </w:rPr>
        <w:t>?</w:t>
      </w:r>
      <w:r w:rsidRPr="00993785">
        <w:rPr>
          <w:rFonts w:ascii="Garamond" w:eastAsia="Garamond" w:hAnsi="Garamond" w:cs="Garamond"/>
        </w:rPr>
        <w:t xml:space="preserve"> </w:t>
      </w:r>
      <w:r w:rsidR="00994434" w:rsidRPr="00993785">
        <w:rPr>
          <w:rFonts w:ascii="Garamond" w:eastAsia="Garamond" w:hAnsi="Garamond" w:cs="Garamond"/>
        </w:rPr>
        <w:t>A</w:t>
      </w:r>
      <w:r w:rsidRPr="00993785">
        <w:rPr>
          <w:rFonts w:ascii="Garamond" w:eastAsia="Garamond" w:hAnsi="Garamond" w:cs="Garamond"/>
        </w:rPr>
        <w:t xml:space="preserve">nd, if so, </w:t>
      </w:r>
      <w:r w:rsidR="00994434" w:rsidRPr="00993785">
        <w:rPr>
          <w:rFonts w:ascii="Garamond" w:eastAsia="Garamond" w:hAnsi="Garamond" w:cs="Garamond"/>
        </w:rPr>
        <w:t xml:space="preserve">are </w:t>
      </w:r>
      <w:r w:rsidRPr="00993785">
        <w:rPr>
          <w:rFonts w:ascii="Garamond" w:eastAsia="Garamond" w:hAnsi="Garamond" w:cs="Garamond"/>
        </w:rPr>
        <w:t>these risks adequately compensated by the promise of greater benefits</w:t>
      </w:r>
      <w:r w:rsidR="00994434" w:rsidRPr="00993785">
        <w:rPr>
          <w:rFonts w:ascii="Garamond" w:eastAsia="Garamond" w:hAnsi="Garamond" w:cs="Garamond"/>
        </w:rPr>
        <w:t xml:space="preserve">? </w:t>
      </w:r>
      <w:r w:rsidRPr="00993785">
        <w:rPr>
          <w:rFonts w:ascii="Garamond" w:eastAsia="Garamond" w:hAnsi="Garamond" w:cs="Garamond"/>
        </w:rPr>
        <w:t xml:space="preserve">As we will argue, these practices present us with risks that are neither wholly novel nor so significant that they cannot be outweighed by the potential benefits that </w:t>
      </w:r>
      <w:r w:rsidR="007C64DB" w:rsidRPr="00993785">
        <w:rPr>
          <w:rFonts w:ascii="Garamond" w:eastAsia="Garamond" w:hAnsi="Garamond" w:cs="Garamond"/>
        </w:rPr>
        <w:t>advance directive-requested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and </w:t>
      </w:r>
      <w:r w:rsidR="007C64DB" w:rsidRPr="00993785">
        <w:rPr>
          <w:rFonts w:ascii="Garamond" w:eastAsia="Garamond" w:hAnsi="Garamond" w:cs="Garamond"/>
        </w:rPr>
        <w:t>surrogate-requested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may offer patients.</w:t>
      </w:r>
    </w:p>
    <w:p w14:paraId="012E4152" w14:textId="77777777" w:rsidR="004105A5" w:rsidRPr="00993785" w:rsidRDefault="004105A5" w:rsidP="00EA3155">
      <w:pPr>
        <w:spacing w:line="480" w:lineRule="auto"/>
        <w:jc w:val="both"/>
        <w:rPr>
          <w:rFonts w:ascii="Garamond" w:eastAsia="Garamond" w:hAnsi="Garamond" w:cs="Garamond"/>
        </w:rPr>
      </w:pPr>
    </w:p>
    <w:p w14:paraId="19619D01" w14:textId="1B5BD9A6" w:rsidR="00C90902" w:rsidRPr="00993785" w:rsidRDefault="00C90902" w:rsidP="00EA3155">
      <w:pPr>
        <w:spacing w:line="480" w:lineRule="auto"/>
        <w:jc w:val="both"/>
        <w:outlineLvl w:val="0"/>
        <w:rPr>
          <w:rFonts w:ascii="Garamond" w:eastAsia="Garamond" w:hAnsi="Garamond" w:cs="Garamond"/>
          <w:b/>
        </w:rPr>
      </w:pPr>
      <w:r w:rsidRPr="00993785">
        <w:rPr>
          <w:rFonts w:ascii="Garamond" w:eastAsia="Garamond" w:hAnsi="Garamond" w:cs="Garamond"/>
          <w:b/>
        </w:rPr>
        <w:t>Section 4.1—</w:t>
      </w:r>
      <w:r w:rsidR="007C64DB" w:rsidRPr="00993785">
        <w:rPr>
          <w:rFonts w:ascii="Garamond" w:eastAsia="Garamond" w:hAnsi="Garamond" w:cs="Garamond"/>
          <w:b/>
        </w:rPr>
        <w:t>Advance Directive-Requested</w:t>
      </w:r>
      <w:r w:rsidR="005B29A1" w:rsidRPr="00993785">
        <w:rPr>
          <w:rFonts w:ascii="Garamond" w:eastAsia="Garamond" w:hAnsi="Garamond" w:cs="Garamond"/>
          <w:b/>
        </w:rPr>
        <w:t xml:space="preserve"> </w:t>
      </w:r>
      <w:r w:rsidR="00843CB9" w:rsidRPr="00993785">
        <w:rPr>
          <w:rFonts w:ascii="Garamond" w:eastAsia="Garamond" w:hAnsi="Garamond" w:cs="Garamond"/>
          <w:b/>
        </w:rPr>
        <w:t>PAD</w:t>
      </w:r>
      <w:r w:rsidR="005B29A1" w:rsidRPr="00993785">
        <w:rPr>
          <w:rFonts w:ascii="Garamond" w:eastAsia="Garamond" w:hAnsi="Garamond" w:cs="Garamond"/>
          <w:b/>
        </w:rPr>
        <w:t xml:space="preserve"> </w:t>
      </w:r>
      <w:r w:rsidR="001E082E" w:rsidRPr="00993785">
        <w:rPr>
          <w:rFonts w:ascii="Garamond" w:eastAsia="Garamond" w:hAnsi="Garamond" w:cs="Garamond"/>
          <w:b/>
        </w:rPr>
        <w:t>S</w:t>
      </w:r>
      <w:r w:rsidR="005B29A1" w:rsidRPr="00993785">
        <w:rPr>
          <w:rFonts w:ascii="Garamond" w:eastAsia="Garamond" w:hAnsi="Garamond" w:cs="Garamond"/>
          <w:b/>
        </w:rPr>
        <w:t xml:space="preserve">hould </w:t>
      </w:r>
      <w:r w:rsidR="001E082E" w:rsidRPr="00993785">
        <w:rPr>
          <w:rFonts w:ascii="Garamond" w:eastAsia="Garamond" w:hAnsi="Garamond" w:cs="Garamond"/>
          <w:b/>
        </w:rPr>
        <w:t>B</w:t>
      </w:r>
      <w:r w:rsidR="005B29A1" w:rsidRPr="00993785">
        <w:rPr>
          <w:rFonts w:ascii="Garamond" w:eastAsia="Garamond" w:hAnsi="Garamond" w:cs="Garamond"/>
          <w:b/>
        </w:rPr>
        <w:t xml:space="preserve">e </w:t>
      </w:r>
      <w:r w:rsidR="001E082E" w:rsidRPr="00993785">
        <w:rPr>
          <w:rFonts w:ascii="Garamond" w:eastAsia="Garamond" w:hAnsi="Garamond" w:cs="Garamond"/>
          <w:b/>
        </w:rPr>
        <w:t>L</w:t>
      </w:r>
      <w:r w:rsidR="005B29A1" w:rsidRPr="00993785">
        <w:rPr>
          <w:rFonts w:ascii="Garamond" w:eastAsia="Garamond" w:hAnsi="Garamond" w:cs="Garamond"/>
          <w:b/>
        </w:rPr>
        <w:t>egalized</w:t>
      </w:r>
    </w:p>
    <w:p w14:paraId="50D100CF" w14:textId="5FBF199A" w:rsidR="00C90902" w:rsidRPr="002B5CD1" w:rsidRDefault="007C64DB" w:rsidP="00EA3155">
      <w:pPr>
        <w:spacing w:line="480" w:lineRule="auto"/>
        <w:jc w:val="both"/>
        <w:rPr>
          <w:rFonts w:ascii="Garamond" w:eastAsia="Garamond" w:hAnsi="Garamond" w:cs="Garamond"/>
        </w:rPr>
      </w:pPr>
      <w:r w:rsidRPr="00993785">
        <w:rPr>
          <w:rFonts w:ascii="Garamond" w:eastAsia="Garamond" w:hAnsi="Garamond" w:cs="Garamond"/>
        </w:rPr>
        <w:t>To show that we ought to expand our PAD practices to allow PAD requests made via advance directives</w:t>
      </w:r>
      <w:r w:rsidR="00204C6A" w:rsidRPr="00993785">
        <w:rPr>
          <w:rFonts w:ascii="Garamond" w:eastAsia="Garamond" w:hAnsi="Garamond" w:cs="Garamond"/>
          <w:smallCaps/>
        </w:rPr>
        <w:t>,</w:t>
      </w:r>
      <w:r w:rsidR="00204C6A" w:rsidRPr="00993785">
        <w:rPr>
          <w:rFonts w:ascii="Garamond" w:eastAsia="Garamond" w:hAnsi="Garamond" w:cs="Garamond"/>
        </w:rPr>
        <w:t xml:space="preserve"> let</w:t>
      </w:r>
      <w:r w:rsidR="003E1B1B">
        <w:rPr>
          <w:rFonts w:ascii="Garamond" w:eastAsia="Garamond" w:hAnsi="Garamond" w:cs="Garamond"/>
        </w:rPr>
        <w:t xml:space="preserve"> u</w:t>
      </w:r>
      <w:r w:rsidR="00204C6A" w:rsidRPr="00993785">
        <w:rPr>
          <w:rFonts w:ascii="Garamond" w:eastAsia="Garamond" w:hAnsi="Garamond" w:cs="Garamond"/>
        </w:rPr>
        <w:t>s start by assuming</w:t>
      </w:r>
      <w:r w:rsidR="00C90902" w:rsidRPr="00993785">
        <w:rPr>
          <w:rFonts w:ascii="Garamond" w:eastAsia="Garamond" w:hAnsi="Garamond" w:cs="Garamond"/>
        </w:rPr>
        <w:t xml:space="preserve"> that the risk of error in </w:t>
      </w:r>
      <w:r w:rsidR="00EA3155" w:rsidRPr="00993785">
        <w:rPr>
          <w:rFonts w:ascii="Garamond" w:eastAsia="Garamond" w:hAnsi="Garamond" w:cs="Garamond"/>
        </w:rPr>
        <w:t>cases of</w:t>
      </w:r>
      <w:r w:rsidR="00C90902" w:rsidRPr="00993785">
        <w:rPr>
          <w:rFonts w:ascii="Garamond" w:eastAsia="Garamond" w:hAnsi="Garamond" w:cs="Garamond"/>
        </w:rPr>
        <w:t xml:space="preserve"> </w:t>
      </w:r>
      <w:r w:rsidR="00EA3155" w:rsidRPr="00993785">
        <w:rPr>
          <w:rFonts w:ascii="Garamond" w:eastAsia="Garamond" w:hAnsi="Garamond" w:cs="Garamond"/>
        </w:rPr>
        <w:t xml:space="preserve">advance directive-requested </w:t>
      </w:r>
      <w:r w:rsidR="004E48E0" w:rsidRPr="00993785">
        <w:rPr>
          <w:rFonts w:ascii="Garamond" w:eastAsia="Garamond" w:hAnsi="Garamond" w:cs="Garamond"/>
        </w:rPr>
        <w:t>withdrawal of care</w:t>
      </w:r>
      <w:r w:rsidR="00C90902" w:rsidRPr="00993785">
        <w:rPr>
          <w:rFonts w:ascii="Garamond" w:eastAsia="Garamond" w:hAnsi="Garamond" w:cs="Garamond"/>
        </w:rPr>
        <w:t xml:space="preserve"> and </w:t>
      </w:r>
      <w:r w:rsidR="00EA3155" w:rsidRPr="00993785">
        <w:rPr>
          <w:rFonts w:ascii="Garamond" w:eastAsia="Garamond" w:hAnsi="Garamond" w:cs="Garamond"/>
        </w:rPr>
        <w:t>patient-requested</w:t>
      </w:r>
      <w:r w:rsidR="00C90902" w:rsidRPr="00993785">
        <w:rPr>
          <w:rFonts w:ascii="Garamond" w:eastAsia="Garamond" w:hAnsi="Garamond" w:cs="Garamond"/>
        </w:rPr>
        <w:t xml:space="preserve"> </w:t>
      </w:r>
      <w:r w:rsidR="00843CB9" w:rsidRPr="00993785">
        <w:rPr>
          <w:rFonts w:ascii="Garamond" w:eastAsia="Garamond" w:hAnsi="Garamond" w:cs="Garamond"/>
        </w:rPr>
        <w:t>PAD</w:t>
      </w:r>
      <w:r w:rsidR="00C90902" w:rsidRPr="00993785">
        <w:rPr>
          <w:rFonts w:ascii="Garamond" w:eastAsia="Garamond" w:hAnsi="Garamond" w:cs="Garamond"/>
        </w:rPr>
        <w:t xml:space="preserve"> </w:t>
      </w:r>
      <w:r w:rsidR="00EA3155" w:rsidRPr="00993785">
        <w:rPr>
          <w:rFonts w:ascii="Garamond" w:eastAsia="Garamond" w:hAnsi="Garamond" w:cs="Garamond"/>
        </w:rPr>
        <w:t>are</w:t>
      </w:r>
      <w:r w:rsidR="00C90902" w:rsidRPr="00993785">
        <w:rPr>
          <w:rFonts w:ascii="Garamond" w:eastAsia="Garamond" w:hAnsi="Garamond" w:cs="Garamond"/>
        </w:rPr>
        <w:t xml:space="preserve"> </w:t>
      </w:r>
      <w:r w:rsidR="00181134" w:rsidRPr="00993785">
        <w:rPr>
          <w:rFonts w:ascii="Garamond" w:eastAsia="Garamond" w:hAnsi="Garamond" w:cs="Garamond"/>
        </w:rPr>
        <w:t xml:space="preserve">sufficiently small to make their legalization permissible. </w:t>
      </w:r>
      <w:r w:rsidR="00C90902" w:rsidRPr="00993785">
        <w:rPr>
          <w:rFonts w:ascii="Garamond" w:eastAsia="Garamond" w:hAnsi="Garamond" w:cs="Garamond"/>
        </w:rPr>
        <w:t xml:space="preserve">If this is right, then we should worry about similar errors in the case of </w:t>
      </w:r>
      <w:r w:rsidR="00EA3155" w:rsidRPr="00993785">
        <w:rPr>
          <w:rFonts w:ascii="Garamond" w:eastAsia="Garamond" w:hAnsi="Garamond" w:cs="Garamond"/>
        </w:rPr>
        <w:t>advance directive-requested</w:t>
      </w:r>
      <w:r w:rsidR="00C90902" w:rsidRPr="00993785">
        <w:rPr>
          <w:rFonts w:ascii="Garamond" w:eastAsia="Garamond" w:hAnsi="Garamond" w:cs="Garamond"/>
        </w:rPr>
        <w:t xml:space="preserve"> </w:t>
      </w:r>
      <w:r w:rsidR="00843CB9" w:rsidRPr="00993785">
        <w:rPr>
          <w:rFonts w:ascii="Garamond" w:eastAsia="Garamond" w:hAnsi="Garamond" w:cs="Garamond"/>
        </w:rPr>
        <w:t>PAD</w:t>
      </w:r>
      <w:r w:rsidR="00C90902" w:rsidRPr="00993785">
        <w:rPr>
          <w:rFonts w:ascii="Garamond" w:eastAsia="Garamond" w:hAnsi="Garamond" w:cs="Garamond"/>
        </w:rPr>
        <w:t xml:space="preserve"> only if</w:t>
      </w:r>
      <w:r w:rsidR="00181134" w:rsidRPr="00993785">
        <w:rPr>
          <w:rFonts w:ascii="Garamond" w:eastAsia="Garamond" w:hAnsi="Garamond" w:cs="Garamond"/>
        </w:rPr>
        <w:t xml:space="preserve"> </w:t>
      </w:r>
      <w:r w:rsidR="002F58F9" w:rsidRPr="00993785">
        <w:rPr>
          <w:rFonts w:ascii="Garamond" w:eastAsia="Garamond" w:hAnsi="Garamond" w:cs="Garamond"/>
        </w:rPr>
        <w:t>1</w:t>
      </w:r>
      <w:r w:rsidR="00181134" w:rsidRPr="004A7411">
        <w:rPr>
          <w:rFonts w:ascii="Garamond" w:eastAsia="Garamond" w:hAnsi="Garamond" w:cs="Garamond"/>
        </w:rPr>
        <w:t>)</w:t>
      </w:r>
      <w:r w:rsidR="00C90902" w:rsidRPr="00E7629F">
        <w:rPr>
          <w:rFonts w:ascii="Garamond" w:eastAsia="Garamond" w:hAnsi="Garamond" w:cs="Garamond"/>
        </w:rPr>
        <w:t xml:space="preserve"> it carries a greater risk of error than </w:t>
      </w:r>
      <w:r w:rsidR="00EA3155" w:rsidRPr="0080605C">
        <w:rPr>
          <w:rFonts w:ascii="Garamond" w:eastAsia="Garamond" w:hAnsi="Garamond" w:cs="Garamond"/>
        </w:rPr>
        <w:t>the other two aforementioned practices</w:t>
      </w:r>
      <w:r w:rsidR="00C90902" w:rsidRPr="0080605C">
        <w:rPr>
          <w:rFonts w:ascii="Garamond" w:eastAsia="Garamond" w:hAnsi="Garamond" w:cs="Garamond"/>
        </w:rPr>
        <w:t xml:space="preserve">, and </w:t>
      </w:r>
      <w:r w:rsidR="002F58F9" w:rsidRPr="0080605C">
        <w:rPr>
          <w:rFonts w:ascii="Garamond" w:eastAsia="Garamond" w:hAnsi="Garamond" w:cs="Garamond"/>
        </w:rPr>
        <w:t>2</w:t>
      </w:r>
      <w:r w:rsidR="00181134" w:rsidRPr="005B1297">
        <w:rPr>
          <w:rFonts w:ascii="Garamond" w:eastAsia="Garamond" w:hAnsi="Garamond" w:cs="Garamond"/>
        </w:rPr>
        <w:t xml:space="preserve">) </w:t>
      </w:r>
      <w:r w:rsidR="00C90902" w:rsidRPr="005B1297">
        <w:rPr>
          <w:rFonts w:ascii="Garamond" w:eastAsia="Garamond" w:hAnsi="Garamond" w:cs="Garamond"/>
        </w:rPr>
        <w:t xml:space="preserve">the additional benefits of </w:t>
      </w:r>
      <w:r w:rsidR="00EA3155" w:rsidRPr="005B1297">
        <w:rPr>
          <w:rFonts w:ascii="Garamond" w:eastAsia="Garamond" w:hAnsi="Garamond" w:cs="Garamond"/>
        </w:rPr>
        <w:t>allowing advance directive-requested</w:t>
      </w:r>
      <w:r w:rsidR="00C90902" w:rsidRPr="00A43FD1">
        <w:rPr>
          <w:rFonts w:ascii="Garamond" w:eastAsia="Garamond" w:hAnsi="Garamond" w:cs="Garamond"/>
        </w:rPr>
        <w:t xml:space="preserve"> </w:t>
      </w:r>
      <w:r w:rsidR="00843CB9" w:rsidRPr="00A43FD1">
        <w:rPr>
          <w:rFonts w:ascii="Garamond" w:eastAsia="Garamond" w:hAnsi="Garamond" w:cs="Garamond"/>
        </w:rPr>
        <w:t>PAD</w:t>
      </w:r>
      <w:r w:rsidR="00811E95" w:rsidRPr="00A43FD1">
        <w:rPr>
          <w:rFonts w:ascii="Garamond" w:eastAsia="Garamond" w:hAnsi="Garamond" w:cs="Garamond"/>
        </w:rPr>
        <w:t xml:space="preserve"> do not justify this increased risk</w:t>
      </w:r>
      <w:r w:rsidR="002F58F9" w:rsidRPr="001A26FE">
        <w:rPr>
          <w:rFonts w:ascii="Garamond" w:eastAsia="Garamond" w:hAnsi="Garamond" w:cs="Garamond"/>
        </w:rPr>
        <w:t>, or if 3) it could cause a novel and substa</w:t>
      </w:r>
      <w:r w:rsidR="002F58F9" w:rsidRPr="002B5CD1">
        <w:rPr>
          <w:rFonts w:ascii="Garamond" w:eastAsia="Garamond" w:hAnsi="Garamond" w:cs="Garamond"/>
        </w:rPr>
        <w:t>ntive social harm that the other two practices do not cause that 4) is not outweighed by the additional benefits that it may provide.</w:t>
      </w:r>
    </w:p>
    <w:p w14:paraId="7D18F00B" w14:textId="373BBB4D" w:rsidR="00C90902" w:rsidRPr="0080605C" w:rsidRDefault="002F58F9" w:rsidP="00EA3155">
      <w:pPr>
        <w:spacing w:line="480" w:lineRule="auto"/>
        <w:ind w:firstLine="720"/>
        <w:jc w:val="both"/>
        <w:rPr>
          <w:rFonts w:ascii="Garamond" w:eastAsia="Garamond" w:hAnsi="Garamond" w:cs="Garamond"/>
        </w:rPr>
      </w:pPr>
      <w:r w:rsidRPr="002B5CD1">
        <w:rPr>
          <w:rFonts w:ascii="Garamond" w:eastAsia="Garamond" w:hAnsi="Garamond" w:cs="Garamond"/>
        </w:rPr>
        <w:t>Let</w:t>
      </w:r>
      <w:r w:rsidR="003E1B1B">
        <w:rPr>
          <w:rFonts w:ascii="Garamond" w:eastAsia="Garamond" w:hAnsi="Garamond" w:cs="Garamond"/>
        </w:rPr>
        <w:t xml:space="preserve"> u</w:t>
      </w:r>
      <w:r w:rsidRPr="002B5CD1">
        <w:rPr>
          <w:rFonts w:ascii="Garamond" w:eastAsia="Garamond" w:hAnsi="Garamond" w:cs="Garamond"/>
        </w:rPr>
        <w:t xml:space="preserve">s consider the risk of error first. </w:t>
      </w:r>
      <w:r w:rsidR="00C90902" w:rsidRPr="0080605C">
        <w:rPr>
          <w:rFonts w:ascii="Garamond" w:eastAsia="Garamond" w:hAnsi="Garamond" w:cs="Garamond"/>
        </w:rPr>
        <w:t>We</w:t>
      </w:r>
      <w:r w:rsidR="003E1B1B">
        <w:rPr>
          <w:rFonts w:ascii="Garamond" w:eastAsia="Garamond" w:hAnsi="Garamond" w:cs="Garamond"/>
        </w:rPr>
        <w:t xml:space="preserve"> wi</w:t>
      </w:r>
      <w:r w:rsidR="00EA3155" w:rsidRPr="0080605C">
        <w:rPr>
          <w:rFonts w:ascii="Garamond" w:eastAsia="Garamond" w:hAnsi="Garamond" w:cs="Garamond"/>
        </w:rPr>
        <w:t>ll</w:t>
      </w:r>
      <w:r w:rsidR="00C90902" w:rsidRPr="0080605C">
        <w:rPr>
          <w:rFonts w:ascii="Garamond" w:eastAsia="Garamond" w:hAnsi="Garamond" w:cs="Garamond"/>
        </w:rPr>
        <w:t xml:space="preserve"> concede that </w:t>
      </w:r>
      <w:r w:rsidR="00EA3155" w:rsidRPr="0080605C">
        <w:rPr>
          <w:rFonts w:ascii="Garamond" w:eastAsia="Garamond" w:hAnsi="Garamond" w:cs="Garamond"/>
        </w:rPr>
        <w:t>advance directive-requested</w:t>
      </w:r>
      <w:r w:rsidR="00C90902" w:rsidRPr="0080605C">
        <w:rPr>
          <w:rFonts w:ascii="Garamond" w:eastAsia="Garamond" w:hAnsi="Garamond" w:cs="Garamond"/>
        </w:rPr>
        <w:t xml:space="preserve"> </w:t>
      </w:r>
      <w:r w:rsidR="00843CB9" w:rsidRPr="0080605C">
        <w:rPr>
          <w:rFonts w:ascii="Garamond" w:eastAsia="Garamond" w:hAnsi="Garamond" w:cs="Garamond"/>
        </w:rPr>
        <w:t>PAD</w:t>
      </w:r>
      <w:r w:rsidR="00C90902" w:rsidRPr="0080605C">
        <w:rPr>
          <w:rFonts w:ascii="Garamond" w:eastAsia="Garamond" w:hAnsi="Garamond" w:cs="Garamond"/>
        </w:rPr>
        <w:t xml:space="preserve"> gives rise to an increased risk of error. </w:t>
      </w:r>
      <w:r w:rsidR="00843CB9" w:rsidRPr="0080605C">
        <w:rPr>
          <w:rFonts w:ascii="Garamond" w:eastAsia="Garamond" w:hAnsi="Garamond" w:cs="Garamond"/>
        </w:rPr>
        <w:t>PAD</w:t>
      </w:r>
      <w:r w:rsidR="00C90902" w:rsidRPr="0080605C">
        <w:rPr>
          <w:rFonts w:ascii="Garamond" w:eastAsia="Garamond" w:hAnsi="Garamond" w:cs="Garamond"/>
        </w:rPr>
        <w:t xml:space="preserve"> is often possible before withdrawal of care would result </w:t>
      </w:r>
      <w:r w:rsidR="00C90902" w:rsidRPr="0080605C">
        <w:rPr>
          <w:rFonts w:ascii="Garamond" w:eastAsia="Garamond" w:hAnsi="Garamond" w:cs="Garamond"/>
        </w:rPr>
        <w:lastRenderedPageBreak/>
        <w:t xml:space="preserve">in death. If patients are mistaken in thinking that their lives would not be worth living </w:t>
      </w:r>
      <w:r w:rsidR="005934D3" w:rsidRPr="0080605C">
        <w:rPr>
          <w:rFonts w:ascii="Garamond" w:eastAsia="Garamond" w:hAnsi="Garamond" w:cs="Garamond"/>
        </w:rPr>
        <w:t>under certain</w:t>
      </w:r>
      <w:r w:rsidR="00C90902" w:rsidRPr="0080605C">
        <w:rPr>
          <w:rFonts w:ascii="Garamond" w:eastAsia="Garamond" w:hAnsi="Garamond" w:cs="Garamond"/>
        </w:rPr>
        <w:t xml:space="preserve"> conditions, then having access to </w:t>
      </w:r>
      <w:r w:rsidR="00311A3C" w:rsidRPr="0080605C">
        <w:rPr>
          <w:rFonts w:ascii="Garamond" w:eastAsia="Garamond" w:hAnsi="Garamond" w:cs="Garamond"/>
        </w:rPr>
        <w:t>advance directive-requested</w:t>
      </w:r>
      <w:r w:rsidR="00C90902" w:rsidRPr="0080605C">
        <w:rPr>
          <w:rFonts w:ascii="Garamond" w:eastAsia="Garamond" w:hAnsi="Garamond" w:cs="Garamond"/>
        </w:rPr>
        <w:t xml:space="preserve"> </w:t>
      </w:r>
      <w:r w:rsidR="00843CB9" w:rsidRPr="0080605C">
        <w:rPr>
          <w:rFonts w:ascii="Garamond" w:eastAsia="Garamond" w:hAnsi="Garamond" w:cs="Garamond"/>
        </w:rPr>
        <w:t>PAD</w:t>
      </w:r>
      <w:r w:rsidR="00C90902" w:rsidRPr="0080605C">
        <w:rPr>
          <w:rFonts w:ascii="Garamond" w:eastAsia="Garamond" w:hAnsi="Garamond" w:cs="Garamond"/>
        </w:rPr>
        <w:t xml:space="preserve"> will allow them to end their lives sooner than they should.</w:t>
      </w:r>
    </w:p>
    <w:p w14:paraId="4DEBF2FB" w14:textId="0F92A018" w:rsidR="00C90902" w:rsidRPr="005B1297" w:rsidRDefault="00C90902" w:rsidP="00EA3155">
      <w:pPr>
        <w:spacing w:line="480" w:lineRule="auto"/>
        <w:ind w:firstLine="720"/>
        <w:jc w:val="both"/>
        <w:rPr>
          <w:rFonts w:ascii="Garamond" w:eastAsia="Garamond" w:hAnsi="Garamond" w:cs="Garamond"/>
        </w:rPr>
      </w:pPr>
      <w:r w:rsidRPr="0080605C">
        <w:rPr>
          <w:rFonts w:ascii="Garamond" w:eastAsia="Garamond" w:hAnsi="Garamond" w:cs="Garamond"/>
        </w:rPr>
        <w:t>The primary reason for thinking that patients might end their lives sooner than they should is that people without disabilities and health conditions systematically rate quality of life with those conditions to be lower than it is rated by people who actually live with those disabilities and health conditions.</w:t>
      </w:r>
      <w:r w:rsidRPr="00993785">
        <w:rPr>
          <w:rFonts w:ascii="Garamond" w:eastAsia="Garamond" w:hAnsi="Garamond" w:cs="Garamond"/>
          <w:vertAlign w:val="superscript"/>
        </w:rPr>
        <w:footnoteReference w:id="17"/>
      </w:r>
      <w:r w:rsidRPr="00993785">
        <w:rPr>
          <w:rFonts w:ascii="Garamond" w:eastAsia="Garamond" w:hAnsi="Garamond" w:cs="Garamond"/>
        </w:rPr>
        <w:t xml:space="preserve"> One natural explanation of this finding is that </w:t>
      </w:r>
      <w:r w:rsidR="005934D3" w:rsidRPr="00993785">
        <w:rPr>
          <w:rFonts w:ascii="Garamond" w:eastAsia="Garamond" w:hAnsi="Garamond" w:cs="Garamond"/>
        </w:rPr>
        <w:t xml:space="preserve">many </w:t>
      </w:r>
      <w:r w:rsidRPr="004A7411">
        <w:rPr>
          <w:rFonts w:ascii="Garamond" w:eastAsia="Garamond" w:hAnsi="Garamond" w:cs="Garamond"/>
        </w:rPr>
        <w:t xml:space="preserve">people are not adequately informed about what it is like to live with disabilities and health conditions. If so, </w:t>
      </w:r>
      <w:r w:rsidR="005B1297">
        <w:rPr>
          <w:rFonts w:ascii="Garamond" w:eastAsia="Garamond" w:hAnsi="Garamond" w:cs="Garamond"/>
        </w:rPr>
        <w:t>we should perhaps be concerned</w:t>
      </w:r>
      <w:r w:rsidRPr="005B1297">
        <w:rPr>
          <w:rFonts w:ascii="Garamond" w:eastAsia="Garamond" w:hAnsi="Garamond" w:cs="Garamond"/>
        </w:rPr>
        <w:t xml:space="preserve"> that people </w:t>
      </w:r>
      <w:r w:rsidR="00181134" w:rsidRPr="005B1297">
        <w:rPr>
          <w:rFonts w:ascii="Garamond" w:eastAsia="Garamond" w:hAnsi="Garamond" w:cs="Garamond"/>
        </w:rPr>
        <w:t xml:space="preserve">may </w:t>
      </w:r>
      <w:r w:rsidRPr="005B1297">
        <w:rPr>
          <w:rFonts w:ascii="Garamond" w:eastAsia="Garamond" w:hAnsi="Garamond" w:cs="Garamond"/>
        </w:rPr>
        <w:t xml:space="preserve">create advance directives that call for doctors to provide </w:t>
      </w:r>
      <w:r w:rsidR="00843CB9" w:rsidRPr="005B1297">
        <w:rPr>
          <w:rFonts w:ascii="Garamond" w:eastAsia="Garamond" w:hAnsi="Garamond" w:cs="Garamond"/>
        </w:rPr>
        <w:t>PAD</w:t>
      </w:r>
      <w:r w:rsidRPr="005B1297">
        <w:rPr>
          <w:rFonts w:ascii="Garamond" w:eastAsia="Garamond" w:hAnsi="Garamond" w:cs="Garamond"/>
        </w:rPr>
        <w:t xml:space="preserve"> under </w:t>
      </w:r>
      <w:r w:rsidR="00181134" w:rsidRPr="005B1297">
        <w:rPr>
          <w:rFonts w:ascii="Garamond" w:eastAsia="Garamond" w:hAnsi="Garamond" w:cs="Garamond"/>
        </w:rPr>
        <w:t>conditions that actually turn out to be consistent with a reasonable quality of life</w:t>
      </w:r>
      <w:r w:rsidRPr="005B1297">
        <w:rPr>
          <w:rFonts w:ascii="Garamond" w:eastAsia="Garamond" w:hAnsi="Garamond" w:cs="Garamond"/>
        </w:rPr>
        <w:t>.</w:t>
      </w:r>
    </w:p>
    <w:p w14:paraId="6FD564B1" w14:textId="4A5F3EF4" w:rsidR="00C90902" w:rsidRPr="00A43FD1" w:rsidRDefault="00C90902" w:rsidP="00EA3155">
      <w:pPr>
        <w:spacing w:line="480" w:lineRule="auto"/>
        <w:ind w:firstLine="720"/>
        <w:jc w:val="both"/>
        <w:rPr>
          <w:rFonts w:ascii="Garamond" w:eastAsia="Garamond" w:hAnsi="Garamond" w:cs="Garamond"/>
        </w:rPr>
      </w:pPr>
      <w:r w:rsidRPr="005B1297">
        <w:rPr>
          <w:rFonts w:ascii="Garamond" w:eastAsia="Garamond" w:hAnsi="Garamond" w:cs="Garamond"/>
        </w:rPr>
        <w:t>This concern</w:t>
      </w:r>
      <w:r w:rsidR="00407DB6" w:rsidRPr="00A43FD1">
        <w:rPr>
          <w:rFonts w:ascii="Garamond" w:eastAsia="Garamond" w:hAnsi="Garamond" w:cs="Garamond"/>
        </w:rPr>
        <w:t xml:space="preserve"> receive</w:t>
      </w:r>
      <w:r w:rsidR="007B6A21" w:rsidRPr="00A43FD1">
        <w:rPr>
          <w:rFonts w:ascii="Garamond" w:eastAsia="Garamond" w:hAnsi="Garamond" w:cs="Garamond"/>
        </w:rPr>
        <w:t xml:space="preserve">s </w:t>
      </w:r>
      <w:r w:rsidR="007B6A21" w:rsidRPr="00A43FD1">
        <w:rPr>
          <w:rFonts w:ascii="Garamond" w:eastAsia="Garamond" w:hAnsi="Garamond" w:cs="Garamond"/>
          <w:i/>
        </w:rPr>
        <w:t>prima facie</w:t>
      </w:r>
      <w:r w:rsidR="00407DB6" w:rsidRPr="00A43FD1">
        <w:rPr>
          <w:rFonts w:ascii="Garamond" w:eastAsia="Garamond" w:hAnsi="Garamond" w:cs="Garamond"/>
        </w:rPr>
        <w:t xml:space="preserve"> support from</w:t>
      </w:r>
      <w:r w:rsidRPr="00A43FD1">
        <w:rPr>
          <w:rFonts w:ascii="Garamond" w:eastAsia="Garamond" w:hAnsi="Garamond" w:cs="Garamond"/>
        </w:rPr>
        <w:t xml:space="preserve"> the fact that</w:t>
      </w:r>
      <w:r w:rsidR="00407DB6" w:rsidRPr="001A26FE">
        <w:rPr>
          <w:rFonts w:ascii="Garamond" w:eastAsia="Garamond" w:hAnsi="Garamond" w:cs="Garamond"/>
        </w:rPr>
        <w:t xml:space="preserve"> only</w:t>
      </w:r>
      <w:r w:rsidRPr="001A26FE">
        <w:rPr>
          <w:rFonts w:ascii="Garamond" w:eastAsia="Garamond" w:hAnsi="Garamond" w:cs="Garamond"/>
        </w:rPr>
        <w:t xml:space="preserve"> 70% </w:t>
      </w:r>
      <w:r w:rsidR="003E1B1B">
        <w:rPr>
          <w:rFonts w:ascii="Garamond" w:eastAsia="Garamond" w:hAnsi="Garamond" w:cs="Garamond"/>
        </w:rPr>
        <w:t xml:space="preserve">of </w:t>
      </w:r>
      <w:r w:rsidRPr="001A26FE">
        <w:rPr>
          <w:rFonts w:ascii="Garamond" w:eastAsia="Garamond" w:hAnsi="Garamond" w:cs="Garamond"/>
        </w:rPr>
        <w:t>end-of-life preferences remain stable through time.</w:t>
      </w:r>
      <w:r w:rsidRPr="00993785">
        <w:rPr>
          <w:rStyle w:val="FootnoteReference"/>
          <w:rFonts w:ascii="Garamond" w:eastAsia="Garamond" w:hAnsi="Garamond" w:cs="Garamond"/>
        </w:rPr>
        <w:footnoteReference w:id="18"/>
      </w:r>
      <w:r w:rsidRPr="00993785">
        <w:rPr>
          <w:rFonts w:ascii="Garamond" w:eastAsia="Garamond" w:hAnsi="Garamond" w:cs="Garamond"/>
        </w:rPr>
        <w:t xml:space="preserve"> </w:t>
      </w:r>
      <w:r w:rsidR="00FF3946" w:rsidRPr="00993785">
        <w:rPr>
          <w:rFonts w:ascii="Garamond" w:eastAsia="Garamond" w:hAnsi="Garamond" w:cs="Garamond"/>
        </w:rPr>
        <w:t>But</w:t>
      </w:r>
      <w:r w:rsidRPr="004A7411">
        <w:rPr>
          <w:rFonts w:ascii="Garamond" w:eastAsia="Garamond" w:hAnsi="Garamond" w:cs="Garamond"/>
        </w:rPr>
        <w:t xml:space="preserve"> </w:t>
      </w:r>
      <w:r w:rsidR="00DB3A7F" w:rsidRPr="00E7629F">
        <w:rPr>
          <w:rFonts w:ascii="Garamond" w:eastAsia="Garamond" w:hAnsi="Garamond" w:cs="Garamond"/>
        </w:rPr>
        <w:t xml:space="preserve">a closer look </w:t>
      </w:r>
      <w:r w:rsidR="004824B1" w:rsidRPr="00E7629F">
        <w:rPr>
          <w:rFonts w:ascii="Garamond" w:eastAsia="Garamond" w:hAnsi="Garamond" w:cs="Garamond"/>
        </w:rPr>
        <w:t xml:space="preserve">at the data </w:t>
      </w:r>
      <w:r w:rsidR="00DB3A7F" w:rsidRPr="0080605C">
        <w:rPr>
          <w:rFonts w:ascii="Garamond" w:eastAsia="Garamond" w:hAnsi="Garamond" w:cs="Garamond"/>
        </w:rPr>
        <w:t xml:space="preserve">reveals that the preferences of those who seek </w:t>
      </w:r>
      <w:r w:rsidR="00EA3155" w:rsidRPr="0080605C">
        <w:rPr>
          <w:rFonts w:ascii="Garamond" w:eastAsia="Garamond" w:hAnsi="Garamond" w:cs="Garamond"/>
        </w:rPr>
        <w:t>advance directive-requested</w:t>
      </w:r>
      <w:r w:rsidR="00DB3A7F" w:rsidRPr="0080605C">
        <w:rPr>
          <w:rFonts w:ascii="Garamond" w:eastAsia="Garamond" w:hAnsi="Garamond" w:cs="Garamond"/>
        </w:rPr>
        <w:t xml:space="preserve"> </w:t>
      </w:r>
      <w:r w:rsidR="00843CB9" w:rsidRPr="0080605C">
        <w:rPr>
          <w:rFonts w:ascii="Garamond" w:eastAsia="Garamond" w:hAnsi="Garamond" w:cs="Garamond"/>
        </w:rPr>
        <w:t>PAD</w:t>
      </w:r>
      <w:r w:rsidR="00DB3A7F" w:rsidRPr="00C4717A">
        <w:rPr>
          <w:rFonts w:ascii="Garamond" w:eastAsia="Garamond" w:hAnsi="Garamond" w:cs="Garamond"/>
        </w:rPr>
        <w:t xml:space="preserve"> are much more stable: </w:t>
      </w:r>
      <w:r w:rsidR="00204C6A" w:rsidRPr="00C4717A">
        <w:rPr>
          <w:rFonts w:ascii="Garamond" w:eastAsia="Garamond" w:hAnsi="Garamond" w:cs="Garamond"/>
        </w:rPr>
        <w:t>people</w:t>
      </w:r>
      <w:r w:rsidR="00FF3946" w:rsidRPr="005B1297">
        <w:rPr>
          <w:rFonts w:ascii="Garamond" w:eastAsia="Garamond" w:hAnsi="Garamond" w:cs="Garamond"/>
        </w:rPr>
        <w:t xml:space="preserve"> who engage i</w:t>
      </w:r>
      <w:r w:rsidR="00520FA4" w:rsidRPr="005B1297">
        <w:rPr>
          <w:rFonts w:ascii="Garamond" w:eastAsia="Garamond" w:hAnsi="Garamond" w:cs="Garamond"/>
        </w:rPr>
        <w:t>n advance care planning have</w:t>
      </w:r>
      <w:r w:rsidR="00FF3946" w:rsidRPr="005B1297">
        <w:rPr>
          <w:rFonts w:ascii="Garamond" w:eastAsia="Garamond" w:hAnsi="Garamond" w:cs="Garamond"/>
        </w:rPr>
        <w:t xml:space="preserve"> </w:t>
      </w:r>
      <w:r w:rsidR="00520FA4" w:rsidRPr="00A43FD1">
        <w:rPr>
          <w:rFonts w:ascii="Garamond" w:eastAsia="Garamond" w:hAnsi="Garamond" w:cs="Garamond"/>
        </w:rPr>
        <w:t xml:space="preserve">significantly more stable preferences than </w:t>
      </w:r>
      <w:r w:rsidR="00204C6A" w:rsidRPr="00A43FD1">
        <w:rPr>
          <w:rFonts w:ascii="Garamond" w:eastAsia="Garamond" w:hAnsi="Garamond" w:cs="Garamond"/>
        </w:rPr>
        <w:t>people</w:t>
      </w:r>
      <w:r w:rsidR="00520FA4" w:rsidRPr="00A43FD1">
        <w:rPr>
          <w:rFonts w:ascii="Garamond" w:eastAsia="Garamond" w:hAnsi="Garamond" w:cs="Garamond"/>
        </w:rPr>
        <w:t xml:space="preserve"> who do not</w:t>
      </w:r>
      <w:r w:rsidR="00DB3A7F" w:rsidRPr="00A43FD1">
        <w:rPr>
          <w:rFonts w:ascii="Garamond" w:eastAsia="Garamond" w:hAnsi="Garamond" w:cs="Garamond"/>
        </w:rPr>
        <w:t xml:space="preserve">, the preferences of </w:t>
      </w:r>
      <w:r w:rsidR="00204C6A" w:rsidRPr="001A26FE">
        <w:rPr>
          <w:rFonts w:ascii="Garamond" w:eastAsia="Garamond" w:hAnsi="Garamond" w:cs="Garamond"/>
        </w:rPr>
        <w:t>patients</w:t>
      </w:r>
      <w:r w:rsidR="00DB3A7F" w:rsidRPr="002B5CD1">
        <w:rPr>
          <w:rFonts w:ascii="Garamond" w:eastAsia="Garamond" w:hAnsi="Garamond" w:cs="Garamond"/>
        </w:rPr>
        <w:t xml:space="preserve"> with serious illnesses are significantly more stable than the preferences of older adults who lack serious illnesses, and preferences to forgo treatme</w:t>
      </w:r>
      <w:r w:rsidR="00DB3A7F" w:rsidRPr="0080605C">
        <w:rPr>
          <w:rFonts w:ascii="Garamond" w:eastAsia="Garamond" w:hAnsi="Garamond" w:cs="Garamond"/>
        </w:rPr>
        <w:t>nt are significantly more stable than preferences for aggressive treatment</w:t>
      </w:r>
      <w:r w:rsidR="00520FA4" w:rsidRPr="0080605C">
        <w:rPr>
          <w:rFonts w:ascii="Garamond" w:eastAsia="Garamond" w:hAnsi="Garamond" w:cs="Garamond"/>
        </w:rPr>
        <w:t>.</w:t>
      </w:r>
      <w:r w:rsidR="00520FA4" w:rsidRPr="00993785">
        <w:rPr>
          <w:rFonts w:ascii="Garamond" w:eastAsia="Garamond" w:hAnsi="Garamond" w:cs="Garamond"/>
          <w:vertAlign w:val="superscript"/>
        </w:rPr>
        <w:footnoteReference w:id="19"/>
      </w:r>
      <w:r w:rsidR="00FF3946" w:rsidRPr="00993785">
        <w:rPr>
          <w:rFonts w:ascii="Garamond" w:eastAsia="Garamond" w:hAnsi="Garamond" w:cs="Garamond"/>
        </w:rPr>
        <w:t xml:space="preserve"> </w:t>
      </w:r>
      <w:r w:rsidR="00255F6C" w:rsidRPr="00993785">
        <w:rPr>
          <w:rFonts w:ascii="Garamond" w:eastAsia="Garamond" w:hAnsi="Garamond" w:cs="Garamond"/>
        </w:rPr>
        <w:t xml:space="preserve">Indeed, one </w:t>
      </w:r>
      <w:r w:rsidRPr="004A7411">
        <w:rPr>
          <w:rFonts w:ascii="Garamond" w:eastAsia="Garamond" w:hAnsi="Garamond" w:cs="Garamond"/>
        </w:rPr>
        <w:t>longitudinal study specifically o</w:t>
      </w:r>
      <w:r w:rsidR="003E1B1B">
        <w:rPr>
          <w:rFonts w:ascii="Garamond" w:eastAsia="Garamond" w:hAnsi="Garamond" w:cs="Garamond"/>
        </w:rPr>
        <w:t>f</w:t>
      </w:r>
      <w:r w:rsidRPr="004A7411">
        <w:rPr>
          <w:rFonts w:ascii="Garamond" w:eastAsia="Garamond" w:hAnsi="Garamond" w:cs="Garamond"/>
        </w:rPr>
        <w:t xml:space="preserve"> people with advance directives for euthanasia found that 96.9% of people in one large sample and 98.1% </w:t>
      </w:r>
      <w:r w:rsidR="00651C5B">
        <w:rPr>
          <w:rFonts w:ascii="Garamond" w:eastAsia="Garamond" w:hAnsi="Garamond" w:cs="Garamond"/>
        </w:rPr>
        <w:t xml:space="preserve">of those </w:t>
      </w:r>
      <w:r w:rsidRPr="004A7411">
        <w:rPr>
          <w:rFonts w:ascii="Garamond" w:eastAsia="Garamond" w:hAnsi="Garamond" w:cs="Garamond"/>
        </w:rPr>
        <w:t xml:space="preserve">in another large sample expressed equally strong or </w:t>
      </w:r>
      <w:r w:rsidRPr="0080605C">
        <w:rPr>
          <w:rFonts w:ascii="Garamond" w:eastAsia="Garamond" w:hAnsi="Garamond" w:cs="Garamond"/>
        </w:rPr>
        <w:t>stronger preferences for euthanasia across six years.</w:t>
      </w:r>
      <w:r w:rsidRPr="00993785">
        <w:rPr>
          <w:rFonts w:ascii="Garamond" w:eastAsia="Garamond" w:hAnsi="Garamond" w:cs="Garamond"/>
          <w:vertAlign w:val="superscript"/>
        </w:rPr>
        <w:footnoteReference w:id="20"/>
      </w:r>
      <w:r w:rsidRPr="00993785">
        <w:rPr>
          <w:rFonts w:ascii="Garamond" w:eastAsia="Garamond" w:hAnsi="Garamond" w:cs="Garamond"/>
        </w:rPr>
        <w:t xml:space="preserve"> If </w:t>
      </w:r>
      <w:r w:rsidR="004E48E0" w:rsidRPr="00993785">
        <w:rPr>
          <w:rFonts w:ascii="Garamond" w:eastAsia="Garamond" w:hAnsi="Garamond" w:cs="Garamond"/>
        </w:rPr>
        <w:t>someone sign</w:t>
      </w:r>
      <w:r w:rsidR="00651C5B">
        <w:rPr>
          <w:rFonts w:ascii="Garamond" w:eastAsia="Garamond" w:hAnsi="Garamond" w:cs="Garamond"/>
        </w:rPr>
        <w:t>s</w:t>
      </w:r>
      <w:r w:rsidR="004E48E0" w:rsidRPr="00993785">
        <w:rPr>
          <w:rFonts w:ascii="Garamond" w:eastAsia="Garamond" w:hAnsi="Garamond" w:cs="Garamond"/>
        </w:rPr>
        <w:t xml:space="preserve"> an advance directive</w:t>
      </w:r>
      <w:r w:rsidRPr="0080605C">
        <w:rPr>
          <w:rFonts w:ascii="Garamond" w:eastAsia="Garamond" w:hAnsi="Garamond" w:cs="Garamond"/>
        </w:rPr>
        <w:t xml:space="preserve"> </w:t>
      </w:r>
      <w:r w:rsidR="004E48E0" w:rsidRPr="0080605C">
        <w:rPr>
          <w:rFonts w:ascii="Garamond" w:eastAsia="Garamond" w:hAnsi="Garamond" w:cs="Garamond"/>
        </w:rPr>
        <w:t>requesting</w:t>
      </w:r>
      <w:r w:rsidRPr="0080605C">
        <w:rPr>
          <w:rFonts w:ascii="Garamond" w:eastAsia="Garamond" w:hAnsi="Garamond" w:cs="Garamond"/>
        </w:rPr>
        <w:t xml:space="preserve"> </w:t>
      </w:r>
      <w:r w:rsidR="00843CB9" w:rsidRPr="00C4717A">
        <w:rPr>
          <w:rFonts w:ascii="Garamond" w:eastAsia="Garamond" w:hAnsi="Garamond" w:cs="Garamond"/>
        </w:rPr>
        <w:t>PAD</w:t>
      </w:r>
      <w:r w:rsidRPr="00C4717A">
        <w:rPr>
          <w:rFonts w:ascii="Garamond" w:eastAsia="Garamond" w:hAnsi="Garamond" w:cs="Garamond"/>
        </w:rPr>
        <w:t xml:space="preserve"> under certain conditions only because they misunderstand </w:t>
      </w:r>
      <w:r w:rsidRPr="00C4717A">
        <w:rPr>
          <w:rFonts w:ascii="Garamond" w:eastAsia="Garamond" w:hAnsi="Garamond" w:cs="Garamond"/>
        </w:rPr>
        <w:lastRenderedPageBreak/>
        <w:t>what life with those conditions is like, then we would expect most people’s preferences fo</w:t>
      </w:r>
      <w:r w:rsidRPr="005B1297">
        <w:rPr>
          <w:rFonts w:ascii="Garamond" w:eastAsia="Garamond" w:hAnsi="Garamond" w:cs="Garamond"/>
        </w:rPr>
        <w:t xml:space="preserve">r </w:t>
      </w:r>
      <w:r w:rsidR="00843CB9" w:rsidRPr="00A43FD1">
        <w:rPr>
          <w:rFonts w:ascii="Garamond" w:eastAsia="Garamond" w:hAnsi="Garamond" w:cs="Garamond"/>
        </w:rPr>
        <w:t>PAD</w:t>
      </w:r>
      <w:r w:rsidRPr="00A43FD1">
        <w:rPr>
          <w:rFonts w:ascii="Garamond" w:eastAsia="Garamond" w:hAnsi="Garamond" w:cs="Garamond"/>
        </w:rPr>
        <w:t xml:space="preserve"> to reverse once they </w:t>
      </w:r>
      <w:r w:rsidR="00651C5B">
        <w:rPr>
          <w:rFonts w:ascii="Garamond" w:eastAsia="Garamond" w:hAnsi="Garamond" w:cs="Garamond"/>
        </w:rPr>
        <w:t>a</w:t>
      </w:r>
      <w:r w:rsidRPr="00A43FD1">
        <w:rPr>
          <w:rFonts w:ascii="Garamond" w:eastAsia="Garamond" w:hAnsi="Garamond" w:cs="Garamond"/>
        </w:rPr>
        <w:t>re in those conditions. But most people’s preferences remain stable.</w:t>
      </w:r>
    </w:p>
    <w:p w14:paraId="6884CE83" w14:textId="60CC0D62" w:rsidR="00C90902" w:rsidRPr="00993785" w:rsidRDefault="00C90902" w:rsidP="00EA3155">
      <w:pPr>
        <w:spacing w:line="480" w:lineRule="auto"/>
        <w:ind w:firstLine="720"/>
        <w:jc w:val="both"/>
        <w:rPr>
          <w:rFonts w:ascii="Garamond" w:eastAsia="Garamond" w:hAnsi="Garamond" w:cs="Garamond"/>
        </w:rPr>
      </w:pPr>
      <w:r w:rsidRPr="00A43FD1">
        <w:rPr>
          <w:rFonts w:ascii="Garamond" w:eastAsia="Garamond" w:hAnsi="Garamond" w:cs="Garamond"/>
        </w:rPr>
        <w:t xml:space="preserve">Further, what risk there may be of patients changing their minds can be reduced further through </w:t>
      </w:r>
      <w:r w:rsidR="00B36702" w:rsidRPr="00A43FD1">
        <w:rPr>
          <w:rFonts w:ascii="Garamond" w:eastAsia="Garamond" w:hAnsi="Garamond" w:cs="Garamond"/>
        </w:rPr>
        <w:t>regulation</w:t>
      </w:r>
      <w:r w:rsidRPr="00A43FD1">
        <w:rPr>
          <w:rFonts w:ascii="Garamond" w:eastAsia="Garamond" w:hAnsi="Garamond" w:cs="Garamond"/>
        </w:rPr>
        <w:t xml:space="preserve">. For example, we could limit </w:t>
      </w:r>
      <w:r w:rsidR="004E48E0" w:rsidRPr="001A26FE">
        <w:rPr>
          <w:rFonts w:ascii="Garamond" w:eastAsia="Garamond" w:hAnsi="Garamond" w:cs="Garamond"/>
        </w:rPr>
        <w:t>advance directive-requested</w:t>
      </w:r>
      <w:r w:rsidRPr="001A26FE">
        <w:rPr>
          <w:rFonts w:ascii="Garamond" w:eastAsia="Garamond" w:hAnsi="Garamond" w:cs="Garamond"/>
        </w:rPr>
        <w:t xml:space="preserve"> </w:t>
      </w:r>
      <w:r w:rsidR="00843CB9" w:rsidRPr="001A26FE">
        <w:rPr>
          <w:rFonts w:ascii="Garamond" w:eastAsia="Garamond" w:hAnsi="Garamond" w:cs="Garamond"/>
        </w:rPr>
        <w:t>PAD</w:t>
      </w:r>
      <w:r w:rsidRPr="001A26FE">
        <w:rPr>
          <w:rFonts w:ascii="Garamond" w:eastAsia="Garamond" w:hAnsi="Garamond" w:cs="Garamond"/>
        </w:rPr>
        <w:t xml:space="preserve"> to cases of terminal illness, even in jurisdictions that allow </w:t>
      </w:r>
      <w:r w:rsidR="004E48E0" w:rsidRPr="002B5CD1">
        <w:rPr>
          <w:rFonts w:ascii="Garamond" w:eastAsia="Garamond" w:hAnsi="Garamond" w:cs="Garamond"/>
        </w:rPr>
        <w:t>patient-requested</w:t>
      </w:r>
      <w:r w:rsidRPr="002B5CD1">
        <w:rPr>
          <w:rFonts w:ascii="Garamond" w:eastAsia="Garamond" w:hAnsi="Garamond" w:cs="Garamond"/>
        </w:rPr>
        <w:t xml:space="preserve"> </w:t>
      </w:r>
      <w:r w:rsidR="00843CB9" w:rsidRPr="002B5CD1">
        <w:rPr>
          <w:rFonts w:ascii="Garamond" w:eastAsia="Garamond" w:hAnsi="Garamond" w:cs="Garamond"/>
        </w:rPr>
        <w:t>PAD</w:t>
      </w:r>
      <w:r w:rsidRPr="002B5CD1">
        <w:rPr>
          <w:rFonts w:ascii="Garamond" w:eastAsia="Garamond" w:hAnsi="Garamond" w:cs="Garamond"/>
        </w:rPr>
        <w:t xml:space="preserve"> for chronic illness. </w:t>
      </w:r>
      <w:r w:rsidR="000B27E5" w:rsidRPr="002B5CD1">
        <w:rPr>
          <w:rFonts w:ascii="Garamond" w:eastAsia="Garamond" w:hAnsi="Garamond" w:cs="Garamond"/>
        </w:rPr>
        <w:t xml:space="preserve">Or we could put hard caps on how old advance directives can be before we disregard the requests outlined </w:t>
      </w:r>
      <w:r w:rsidR="000B27E5" w:rsidRPr="0080605C">
        <w:rPr>
          <w:rFonts w:ascii="Garamond" w:eastAsia="Garamond" w:hAnsi="Garamond" w:cs="Garamond"/>
        </w:rPr>
        <w:t xml:space="preserve">in them. </w:t>
      </w:r>
      <w:r w:rsidRPr="0080605C">
        <w:rPr>
          <w:rFonts w:ascii="Garamond" w:eastAsia="Garamond" w:hAnsi="Garamond" w:cs="Garamond"/>
        </w:rPr>
        <w:t>Or to try to prevent controversial cases similar to one that recently occurred in the Netherlands</w:t>
      </w:r>
      <w:r w:rsidR="00EA3155" w:rsidRPr="0080605C">
        <w:rPr>
          <w:rFonts w:ascii="Garamond" w:eastAsia="Garamond" w:hAnsi="Garamond" w:cs="Garamond"/>
        </w:rPr>
        <w:t>, in which PAD was performed on a patient with Alzheimer’s who seemed no longer to want to die</w:t>
      </w:r>
      <w:r w:rsidRPr="0080605C">
        <w:rPr>
          <w:rFonts w:ascii="Garamond" w:eastAsia="Garamond" w:hAnsi="Garamond" w:cs="Garamond"/>
        </w:rPr>
        <w:t>,</w:t>
      </w:r>
      <w:r w:rsidRPr="00993785">
        <w:rPr>
          <w:rFonts w:ascii="Garamond" w:eastAsia="Garamond" w:hAnsi="Garamond" w:cs="Garamond"/>
          <w:vertAlign w:val="superscript"/>
        </w:rPr>
        <w:footnoteReference w:id="21"/>
      </w:r>
      <w:r w:rsidRPr="00993785">
        <w:rPr>
          <w:rFonts w:ascii="Garamond" w:eastAsia="Garamond" w:hAnsi="Garamond" w:cs="Garamond"/>
          <w:vertAlign w:val="superscript"/>
        </w:rPr>
        <w:t xml:space="preserve"> </w:t>
      </w:r>
      <w:r w:rsidRPr="00993785">
        <w:rPr>
          <w:rFonts w:ascii="Garamond" w:eastAsia="Garamond" w:hAnsi="Garamond" w:cs="Garamond"/>
        </w:rPr>
        <w:t xml:space="preserve"> we could make it illegal to carry out </w:t>
      </w:r>
      <w:r w:rsidR="00843CB9" w:rsidRPr="004A7411">
        <w:rPr>
          <w:rFonts w:ascii="Garamond" w:eastAsia="Garamond" w:hAnsi="Garamond" w:cs="Garamond"/>
        </w:rPr>
        <w:t>PAD</w:t>
      </w:r>
      <w:r w:rsidR="00EA3155" w:rsidRPr="00E7629F">
        <w:rPr>
          <w:rFonts w:ascii="Garamond" w:eastAsia="Garamond" w:hAnsi="Garamond" w:cs="Garamond"/>
        </w:rPr>
        <w:t xml:space="preserve"> requests</w:t>
      </w:r>
      <w:r w:rsidRPr="00E7629F">
        <w:rPr>
          <w:rFonts w:ascii="Garamond" w:eastAsia="Garamond" w:hAnsi="Garamond" w:cs="Garamond"/>
        </w:rPr>
        <w:t xml:space="preserve"> in cases where the incap</w:t>
      </w:r>
      <w:r w:rsidRPr="0080605C">
        <w:rPr>
          <w:rFonts w:ascii="Garamond" w:eastAsia="Garamond" w:hAnsi="Garamond" w:cs="Garamond"/>
        </w:rPr>
        <w:t xml:space="preserve">acitated patient expresses </w:t>
      </w:r>
      <w:r w:rsidR="008647EE" w:rsidRPr="0080605C">
        <w:rPr>
          <w:rFonts w:ascii="Garamond" w:eastAsia="Garamond" w:hAnsi="Garamond" w:cs="Garamond"/>
        </w:rPr>
        <w:t xml:space="preserve">any signs of </w:t>
      </w:r>
      <w:r w:rsidRPr="0080605C">
        <w:rPr>
          <w:rFonts w:ascii="Garamond" w:eastAsia="Garamond" w:hAnsi="Garamond" w:cs="Garamond"/>
        </w:rPr>
        <w:t>dissent</w:t>
      </w:r>
      <w:r w:rsidR="00EA3155" w:rsidRPr="0080605C">
        <w:rPr>
          <w:rFonts w:ascii="Garamond" w:eastAsia="Garamond" w:hAnsi="Garamond" w:cs="Garamond"/>
        </w:rPr>
        <w:t>, distress</w:t>
      </w:r>
      <w:r w:rsidR="00651C5B">
        <w:rPr>
          <w:rFonts w:ascii="Garamond" w:eastAsia="Garamond" w:hAnsi="Garamond" w:cs="Garamond"/>
        </w:rPr>
        <w:t>,</w:t>
      </w:r>
      <w:r w:rsidR="00EA3155" w:rsidRPr="0080605C">
        <w:rPr>
          <w:rFonts w:ascii="Garamond" w:eastAsia="Garamond" w:hAnsi="Garamond" w:cs="Garamond"/>
        </w:rPr>
        <w:t xml:space="preserve"> or even discomfort</w:t>
      </w:r>
      <w:r w:rsidRPr="0080605C">
        <w:rPr>
          <w:rFonts w:ascii="Garamond" w:eastAsia="Garamond" w:hAnsi="Garamond" w:cs="Garamond"/>
        </w:rPr>
        <w:t>.</w:t>
      </w:r>
      <w:r w:rsidRPr="00993785">
        <w:rPr>
          <w:rStyle w:val="FootnoteReference"/>
          <w:rFonts w:ascii="Garamond" w:eastAsia="Garamond" w:hAnsi="Garamond" w:cs="Garamond"/>
        </w:rPr>
        <w:footnoteReference w:id="22"/>
      </w:r>
      <w:r w:rsidR="000B27E5" w:rsidRPr="00993785">
        <w:rPr>
          <w:rFonts w:ascii="Garamond" w:eastAsia="Garamond" w:hAnsi="Garamond" w:cs="Garamond"/>
        </w:rPr>
        <w:t xml:space="preserve"> </w:t>
      </w:r>
    </w:p>
    <w:p w14:paraId="49F36D4D" w14:textId="36D4885B" w:rsidR="00C90902" w:rsidRPr="005B1297" w:rsidRDefault="00C90902" w:rsidP="00311A3C">
      <w:pPr>
        <w:spacing w:line="480" w:lineRule="auto"/>
        <w:ind w:firstLine="720"/>
        <w:jc w:val="both"/>
        <w:rPr>
          <w:rFonts w:ascii="Garamond" w:eastAsia="Garamond" w:hAnsi="Garamond" w:cs="Garamond"/>
        </w:rPr>
      </w:pPr>
      <w:r w:rsidRPr="0080605C">
        <w:rPr>
          <w:rFonts w:ascii="Garamond" w:eastAsia="Garamond" w:hAnsi="Garamond" w:cs="Garamond"/>
        </w:rPr>
        <w:t xml:space="preserve">While </w:t>
      </w:r>
      <w:r w:rsidR="004E48E0" w:rsidRPr="0080605C">
        <w:rPr>
          <w:rFonts w:ascii="Garamond" w:eastAsia="Garamond" w:hAnsi="Garamond" w:cs="Garamond"/>
        </w:rPr>
        <w:t>such regulations may not be</w:t>
      </w:r>
      <w:r w:rsidR="009A7F5F" w:rsidRPr="0080605C">
        <w:rPr>
          <w:rFonts w:ascii="Garamond" w:eastAsia="Garamond" w:hAnsi="Garamond" w:cs="Garamond"/>
        </w:rPr>
        <w:t xml:space="preserve"> fail-safe</w:t>
      </w:r>
      <w:r w:rsidRPr="0080605C">
        <w:rPr>
          <w:rFonts w:ascii="Garamond" w:eastAsia="Garamond" w:hAnsi="Garamond" w:cs="Garamond"/>
        </w:rPr>
        <w:t xml:space="preserve">, we believe that </w:t>
      </w:r>
      <w:r w:rsidR="00EA3155" w:rsidRPr="0080605C">
        <w:rPr>
          <w:rFonts w:ascii="Garamond" w:eastAsia="Garamond" w:hAnsi="Garamond" w:cs="Garamond"/>
        </w:rPr>
        <w:t xml:space="preserve">we should </w:t>
      </w:r>
      <w:r w:rsidR="00C26B5C" w:rsidRPr="00C4717A">
        <w:rPr>
          <w:rFonts w:ascii="Garamond" w:eastAsia="Garamond" w:hAnsi="Garamond" w:cs="Garamond"/>
        </w:rPr>
        <w:t xml:space="preserve">not continue to prohibit PAD requests made via advance directives </w:t>
      </w:r>
      <w:r w:rsidRPr="005B1297">
        <w:rPr>
          <w:rFonts w:ascii="Garamond" w:eastAsia="Garamond" w:hAnsi="Garamond" w:cs="Garamond"/>
        </w:rPr>
        <w:t xml:space="preserve">solely in order to prevent </w:t>
      </w:r>
      <w:r w:rsidR="009A7F5F" w:rsidRPr="00A43FD1">
        <w:rPr>
          <w:rFonts w:ascii="Garamond" w:eastAsia="Garamond" w:hAnsi="Garamond" w:cs="Garamond"/>
        </w:rPr>
        <w:t>potential harms</w:t>
      </w:r>
      <w:r w:rsidRPr="00A43FD1">
        <w:rPr>
          <w:rFonts w:ascii="Garamond" w:eastAsia="Garamond" w:hAnsi="Garamond" w:cs="Garamond"/>
        </w:rPr>
        <w:t xml:space="preserve">. The potential harm </w:t>
      </w:r>
      <w:r w:rsidR="009A7F5F" w:rsidRPr="001A26FE">
        <w:rPr>
          <w:rFonts w:ascii="Garamond" w:eastAsia="Garamond" w:hAnsi="Garamond" w:cs="Garamond"/>
        </w:rPr>
        <w:t>in question</w:t>
      </w:r>
      <w:r w:rsidRPr="002B5CD1">
        <w:rPr>
          <w:rFonts w:ascii="Garamond" w:eastAsia="Garamond" w:hAnsi="Garamond" w:cs="Garamond"/>
        </w:rPr>
        <w:t xml:space="preserve">—that of </w:t>
      </w:r>
      <w:r w:rsidR="009A7F5F" w:rsidRPr="002B5CD1">
        <w:rPr>
          <w:rFonts w:ascii="Garamond" w:eastAsia="Garamond" w:hAnsi="Garamond" w:cs="Garamond"/>
        </w:rPr>
        <w:t>depriving a</w:t>
      </w:r>
      <w:r w:rsidRPr="002B5CD1">
        <w:rPr>
          <w:rFonts w:ascii="Garamond" w:eastAsia="Garamond" w:hAnsi="Garamond" w:cs="Garamond"/>
        </w:rPr>
        <w:t xml:space="preserve"> </w:t>
      </w:r>
      <w:r w:rsidR="009A7F5F" w:rsidRPr="002B5CD1">
        <w:rPr>
          <w:rFonts w:ascii="Garamond" w:eastAsia="Garamond" w:hAnsi="Garamond" w:cs="Garamond"/>
        </w:rPr>
        <w:t>patient</w:t>
      </w:r>
      <w:r w:rsidRPr="002B5CD1">
        <w:rPr>
          <w:rFonts w:ascii="Garamond" w:eastAsia="Garamond" w:hAnsi="Garamond" w:cs="Garamond"/>
        </w:rPr>
        <w:t xml:space="preserve"> of a short future life in which they are either unconscious or severely</w:t>
      </w:r>
      <w:r w:rsidR="00C26B5C" w:rsidRPr="0080605C">
        <w:rPr>
          <w:rFonts w:ascii="Garamond" w:eastAsia="Garamond" w:hAnsi="Garamond" w:cs="Garamond"/>
        </w:rPr>
        <w:t xml:space="preserve"> and likely irreparably</w:t>
      </w:r>
      <w:r w:rsidRPr="0080605C">
        <w:rPr>
          <w:rFonts w:ascii="Garamond" w:eastAsia="Garamond" w:hAnsi="Garamond" w:cs="Garamond"/>
        </w:rPr>
        <w:t xml:space="preserve"> incapacitated—</w:t>
      </w:r>
      <w:r w:rsidR="00311A3C" w:rsidRPr="0080605C">
        <w:rPr>
          <w:rFonts w:ascii="Garamond" w:eastAsia="Garamond" w:hAnsi="Garamond" w:cs="Garamond"/>
        </w:rPr>
        <w:t>does not outweigh</w:t>
      </w:r>
      <w:r w:rsidRPr="0080605C">
        <w:rPr>
          <w:rFonts w:ascii="Garamond" w:eastAsia="Garamond" w:hAnsi="Garamond" w:cs="Garamond"/>
        </w:rPr>
        <w:t xml:space="preserve"> the harm that patients </w:t>
      </w:r>
      <w:r w:rsidR="009A7F5F" w:rsidRPr="0080605C">
        <w:rPr>
          <w:rFonts w:ascii="Garamond" w:eastAsia="Garamond" w:hAnsi="Garamond" w:cs="Garamond"/>
        </w:rPr>
        <w:t>may</w:t>
      </w:r>
      <w:r w:rsidRPr="0080605C">
        <w:rPr>
          <w:rFonts w:ascii="Garamond" w:eastAsia="Garamond" w:hAnsi="Garamond" w:cs="Garamond"/>
        </w:rPr>
        <w:t xml:space="preserve"> endure if uniformly denied access to </w:t>
      </w:r>
      <w:r w:rsidR="00C26B5C" w:rsidRPr="0080605C">
        <w:rPr>
          <w:rFonts w:ascii="Garamond" w:eastAsia="Garamond" w:hAnsi="Garamond" w:cs="Garamond"/>
        </w:rPr>
        <w:t>medical aid in dying</w:t>
      </w:r>
      <w:r w:rsidRPr="0080605C">
        <w:rPr>
          <w:rFonts w:ascii="Garamond" w:eastAsia="Garamond" w:hAnsi="Garamond" w:cs="Garamond"/>
        </w:rPr>
        <w:t xml:space="preserve">. Such patients </w:t>
      </w:r>
      <w:r w:rsidR="00F80ADA" w:rsidRPr="0080605C">
        <w:rPr>
          <w:rFonts w:ascii="Garamond" w:eastAsia="Garamond" w:hAnsi="Garamond" w:cs="Garamond"/>
        </w:rPr>
        <w:t>will</w:t>
      </w:r>
      <w:r w:rsidRPr="0080605C">
        <w:rPr>
          <w:rFonts w:ascii="Garamond" w:eastAsia="Garamond" w:hAnsi="Garamond" w:cs="Garamond"/>
        </w:rPr>
        <w:t xml:space="preserve">, like Audrey Parker, be forced to either end their lives even earlier than desired, or else experience the suffering and loss of dignity </w:t>
      </w:r>
      <w:r w:rsidR="00311A3C" w:rsidRPr="0080605C">
        <w:rPr>
          <w:rFonts w:ascii="Garamond" w:eastAsia="Garamond" w:hAnsi="Garamond" w:cs="Garamond"/>
        </w:rPr>
        <w:t>they wished to avoid by requesting medical aid in dying</w:t>
      </w:r>
      <w:r w:rsidRPr="0080605C">
        <w:rPr>
          <w:rFonts w:ascii="Garamond" w:eastAsia="Garamond" w:hAnsi="Garamond" w:cs="Garamond"/>
        </w:rPr>
        <w:t xml:space="preserve">. </w:t>
      </w:r>
      <w:r w:rsidR="00F80ADA" w:rsidRPr="0080605C">
        <w:rPr>
          <w:rFonts w:ascii="Garamond" w:eastAsia="Garamond" w:hAnsi="Garamond" w:cs="Garamond"/>
        </w:rPr>
        <w:t>To</w:t>
      </w:r>
      <w:r w:rsidRPr="0080605C">
        <w:rPr>
          <w:rFonts w:ascii="Garamond" w:eastAsia="Garamond" w:hAnsi="Garamond" w:cs="Garamond"/>
        </w:rPr>
        <w:t xml:space="preserve"> paternalistically </w:t>
      </w:r>
      <w:r w:rsidR="00FB7315" w:rsidRPr="0080605C">
        <w:rPr>
          <w:rFonts w:ascii="Garamond" w:eastAsia="Garamond" w:hAnsi="Garamond" w:cs="Garamond"/>
        </w:rPr>
        <w:t xml:space="preserve">disallow </w:t>
      </w:r>
      <w:r w:rsidRPr="0080605C">
        <w:rPr>
          <w:rFonts w:ascii="Garamond" w:eastAsia="Garamond" w:hAnsi="Garamond" w:cs="Garamond"/>
        </w:rPr>
        <w:t xml:space="preserve">people from </w:t>
      </w:r>
      <w:r w:rsidR="00311A3C" w:rsidRPr="0080605C">
        <w:rPr>
          <w:rFonts w:ascii="Garamond" w:eastAsia="Garamond" w:hAnsi="Garamond" w:cs="Garamond"/>
        </w:rPr>
        <w:t xml:space="preserve">preemptively requesting PAD </w:t>
      </w:r>
      <w:r w:rsidRPr="0080605C">
        <w:rPr>
          <w:rFonts w:ascii="Garamond" w:eastAsia="Garamond" w:hAnsi="Garamond" w:cs="Garamond"/>
        </w:rPr>
        <w:t xml:space="preserve">in order to prevent a small number from ending their lives </w:t>
      </w:r>
      <w:r w:rsidR="009A7F5F" w:rsidRPr="0080605C">
        <w:rPr>
          <w:rFonts w:ascii="Garamond" w:eastAsia="Garamond" w:hAnsi="Garamond" w:cs="Garamond"/>
        </w:rPr>
        <w:t xml:space="preserve">slightly </w:t>
      </w:r>
      <w:r w:rsidR="00F80ADA" w:rsidRPr="0080605C">
        <w:rPr>
          <w:rFonts w:ascii="Garamond" w:eastAsia="Garamond" w:hAnsi="Garamond" w:cs="Garamond"/>
        </w:rPr>
        <w:t xml:space="preserve">earlier than </w:t>
      </w:r>
      <w:r w:rsidR="009A7F5F" w:rsidRPr="0080605C">
        <w:rPr>
          <w:rFonts w:ascii="Garamond" w:eastAsia="Garamond" w:hAnsi="Garamond" w:cs="Garamond"/>
        </w:rPr>
        <w:t>preferred</w:t>
      </w:r>
      <w:r w:rsidRPr="0080605C">
        <w:rPr>
          <w:rFonts w:ascii="Garamond" w:eastAsia="Garamond" w:hAnsi="Garamond" w:cs="Garamond"/>
        </w:rPr>
        <w:t xml:space="preserve"> would be to undermine </w:t>
      </w:r>
      <w:r w:rsidR="00311A3C" w:rsidRPr="0080605C">
        <w:rPr>
          <w:rFonts w:ascii="Garamond" w:eastAsia="Garamond" w:hAnsi="Garamond" w:cs="Garamond"/>
        </w:rPr>
        <w:t>patient</w:t>
      </w:r>
      <w:r w:rsidRPr="0080605C">
        <w:rPr>
          <w:rFonts w:ascii="Garamond" w:eastAsia="Garamond" w:hAnsi="Garamond" w:cs="Garamond"/>
        </w:rPr>
        <w:t xml:space="preserve"> sovereignty in order to do what is, in expectation, unlikely to respect </w:t>
      </w:r>
      <w:r w:rsidR="00311A3C" w:rsidRPr="0080605C">
        <w:rPr>
          <w:rFonts w:ascii="Garamond" w:eastAsia="Garamond" w:hAnsi="Garamond" w:cs="Garamond"/>
        </w:rPr>
        <w:t>patient</w:t>
      </w:r>
      <w:r w:rsidRPr="0080605C">
        <w:rPr>
          <w:rFonts w:ascii="Garamond" w:eastAsia="Garamond" w:hAnsi="Garamond" w:cs="Garamond"/>
        </w:rPr>
        <w:t xml:space="preserve"> nonalienation. It thereby constitutes an attack on </w:t>
      </w:r>
      <w:r w:rsidR="00311A3C" w:rsidRPr="0080605C">
        <w:rPr>
          <w:rFonts w:ascii="Garamond" w:eastAsia="Garamond" w:hAnsi="Garamond" w:cs="Garamond"/>
        </w:rPr>
        <w:t>patient</w:t>
      </w:r>
      <w:r w:rsidRPr="0080605C">
        <w:rPr>
          <w:rFonts w:ascii="Garamond" w:eastAsia="Garamond" w:hAnsi="Garamond" w:cs="Garamond"/>
        </w:rPr>
        <w:t xml:space="preserve"> autonomy from all sides.</w:t>
      </w:r>
    </w:p>
    <w:p w14:paraId="7368CA1E" w14:textId="2F7BEEC7" w:rsidR="002F58F9" w:rsidRPr="0080605C" w:rsidRDefault="002F58F9" w:rsidP="003D779F">
      <w:pPr>
        <w:spacing w:line="480" w:lineRule="auto"/>
        <w:ind w:firstLine="720"/>
        <w:jc w:val="both"/>
        <w:rPr>
          <w:rFonts w:ascii="Garamond" w:eastAsia="Garamond" w:hAnsi="Garamond" w:cs="Garamond"/>
        </w:rPr>
      </w:pPr>
      <w:r w:rsidRPr="005B1297">
        <w:rPr>
          <w:rFonts w:ascii="Garamond" w:eastAsia="Garamond" w:hAnsi="Garamond" w:cs="Garamond"/>
        </w:rPr>
        <w:lastRenderedPageBreak/>
        <w:t>We</w:t>
      </w:r>
      <w:r w:rsidR="00651C5B">
        <w:rPr>
          <w:rFonts w:ascii="Garamond" w:eastAsia="Garamond" w:hAnsi="Garamond" w:cs="Garamond"/>
        </w:rPr>
        <w:t xml:space="preserve"> wi</w:t>
      </w:r>
      <w:r w:rsidRPr="005B1297">
        <w:rPr>
          <w:rFonts w:ascii="Garamond" w:eastAsia="Garamond" w:hAnsi="Garamond" w:cs="Garamond"/>
        </w:rPr>
        <w:t>ll close by considering the concern that advance directive-requested PAD could be socially harmful. O</w:t>
      </w:r>
      <w:r w:rsidRPr="00A43FD1">
        <w:rPr>
          <w:rFonts w:ascii="Garamond" w:eastAsia="Garamond" w:hAnsi="Garamond" w:cs="Garamond"/>
        </w:rPr>
        <w:t xml:space="preserve">ne argument that has </w:t>
      </w:r>
      <w:r w:rsidR="00502F1A">
        <w:rPr>
          <w:rFonts w:ascii="Garamond" w:eastAsia="Garamond" w:hAnsi="Garamond" w:cs="Garamond"/>
        </w:rPr>
        <w:t>often been</w:t>
      </w:r>
      <w:r w:rsidRPr="00A43FD1">
        <w:rPr>
          <w:rFonts w:ascii="Garamond" w:eastAsia="Garamond" w:hAnsi="Garamond" w:cs="Garamond"/>
        </w:rPr>
        <w:t xml:space="preserve"> made against patient-requested PAD is that its legalization negatively expresses a negative message about people with disabilities, </w:t>
      </w:r>
      <w:r w:rsidRPr="001A26FE">
        <w:rPr>
          <w:rFonts w:ascii="Garamond" w:eastAsia="Garamond" w:hAnsi="Garamond" w:cs="Garamond"/>
          <w:i/>
        </w:rPr>
        <w:t>viz</w:t>
      </w:r>
      <w:r w:rsidRPr="002B5CD1">
        <w:rPr>
          <w:rFonts w:ascii="Garamond" w:eastAsia="Garamond" w:hAnsi="Garamond" w:cs="Garamond"/>
        </w:rPr>
        <w:t>. that their lives are not worth living.</w:t>
      </w:r>
      <w:r w:rsidRPr="00993785">
        <w:rPr>
          <w:rStyle w:val="FootnoteReference"/>
          <w:rFonts w:ascii="Garamond" w:eastAsia="Garamond" w:hAnsi="Garamond" w:cs="Garamond"/>
        </w:rPr>
        <w:footnoteReference w:id="23"/>
      </w:r>
      <w:r w:rsidRPr="00993785">
        <w:rPr>
          <w:rFonts w:ascii="Garamond" w:eastAsia="Garamond" w:hAnsi="Garamond" w:cs="Garamond"/>
        </w:rPr>
        <w:t xml:space="preserve"> </w:t>
      </w:r>
      <w:r w:rsidR="00DE6528">
        <w:rPr>
          <w:rFonts w:ascii="Garamond" w:eastAsia="Garamond" w:hAnsi="Garamond" w:cs="Garamond"/>
        </w:rPr>
        <w:t>These concerns may be exacerbated in the advance directive case, as the patient is not able to affirm the desirability of PAD at the time that they receive it. Nevertheless,</w:t>
      </w:r>
      <w:r w:rsidRPr="0080605C">
        <w:rPr>
          <w:rFonts w:ascii="Garamond" w:eastAsia="Garamond" w:hAnsi="Garamond" w:cs="Garamond"/>
        </w:rPr>
        <w:t xml:space="preserve"> we think that there</w:t>
      </w:r>
      <w:r w:rsidR="00651C5B">
        <w:rPr>
          <w:rFonts w:ascii="Garamond" w:eastAsia="Garamond" w:hAnsi="Garamond" w:cs="Garamond"/>
        </w:rPr>
        <w:t xml:space="preserve"> i</w:t>
      </w:r>
      <w:r w:rsidRPr="0080605C">
        <w:rPr>
          <w:rFonts w:ascii="Garamond" w:eastAsia="Garamond" w:hAnsi="Garamond" w:cs="Garamond"/>
        </w:rPr>
        <w:t>s at least some reason to think that the expressive harm that may be present in relation to patient-PAD legalization is actually ameliorated somewhat by this proposed expansion. Specifically, insofar as</w:t>
      </w:r>
      <w:r w:rsidRPr="00C4717A">
        <w:rPr>
          <w:rFonts w:ascii="Garamond" w:eastAsia="Garamond" w:hAnsi="Garamond" w:cs="Garamond"/>
        </w:rPr>
        <w:t xml:space="preserve"> advance directive-requested PAD would give patients the right to dictate their w</w:t>
      </w:r>
      <w:r w:rsidRPr="005B1297">
        <w:rPr>
          <w:rFonts w:ascii="Garamond" w:eastAsia="Garamond" w:hAnsi="Garamond" w:cs="Garamond"/>
        </w:rPr>
        <w:t>ishes in advance, it would also give them the chance to live longer with progressive terminal illnesses under certain pre-defined conditions. Patients would not</w:t>
      </w:r>
      <w:r w:rsidRPr="00A43FD1">
        <w:rPr>
          <w:rFonts w:ascii="Garamond" w:eastAsia="Garamond" w:hAnsi="Garamond" w:cs="Garamond"/>
        </w:rPr>
        <w:t xml:space="preserve"> feel pressured into ending their lives prematurely lest they risk losing eligibility for PAD, but could instead continue to enjoy their lives so long as those lives continued to be (by the patients’ own lights) valuable. Allowing patients to request PAD via advance directives </w:t>
      </w:r>
      <w:r w:rsidR="0080605C">
        <w:rPr>
          <w:rFonts w:ascii="Garamond" w:eastAsia="Garamond" w:hAnsi="Garamond" w:cs="Garamond"/>
        </w:rPr>
        <w:t>can</w:t>
      </w:r>
      <w:r w:rsidRPr="0080605C">
        <w:rPr>
          <w:rFonts w:ascii="Garamond" w:eastAsia="Garamond" w:hAnsi="Garamond" w:cs="Garamond"/>
        </w:rPr>
        <w:t xml:space="preserve"> </w:t>
      </w:r>
      <w:r w:rsidR="0080605C">
        <w:rPr>
          <w:rFonts w:ascii="Garamond" w:eastAsia="Garamond" w:hAnsi="Garamond" w:cs="Garamond"/>
        </w:rPr>
        <w:t>help send</w:t>
      </w:r>
      <w:r w:rsidRPr="0080605C">
        <w:rPr>
          <w:rFonts w:ascii="Garamond" w:eastAsia="Garamond" w:hAnsi="Garamond" w:cs="Garamond"/>
        </w:rPr>
        <w:t xml:space="preserve"> the message that serious terminal </w:t>
      </w:r>
      <w:r w:rsidR="0080605C">
        <w:rPr>
          <w:rFonts w:ascii="Garamond" w:eastAsia="Garamond" w:hAnsi="Garamond" w:cs="Garamond"/>
        </w:rPr>
        <w:t xml:space="preserve">illness is still compatible with quality of life. </w:t>
      </w:r>
      <w:r w:rsidRPr="0080605C">
        <w:rPr>
          <w:rFonts w:ascii="Garamond" w:eastAsia="Garamond" w:hAnsi="Garamond" w:cs="Garamond"/>
        </w:rPr>
        <w:t xml:space="preserve"> </w:t>
      </w:r>
    </w:p>
    <w:p w14:paraId="4061E379" w14:textId="77777777" w:rsidR="00FB7315" w:rsidRPr="0080605C" w:rsidRDefault="00FB7315" w:rsidP="002632AA">
      <w:pPr>
        <w:spacing w:line="480" w:lineRule="auto"/>
        <w:jc w:val="both"/>
        <w:rPr>
          <w:rFonts w:ascii="Garamond" w:eastAsia="Garamond" w:hAnsi="Garamond" w:cs="Garamond"/>
        </w:rPr>
      </w:pPr>
    </w:p>
    <w:p w14:paraId="5256ABAD" w14:textId="3097F3C7" w:rsidR="005B29A1" w:rsidRPr="00A43FD1" w:rsidRDefault="00C90902" w:rsidP="00EA3155">
      <w:pPr>
        <w:spacing w:line="480" w:lineRule="auto"/>
        <w:jc w:val="both"/>
        <w:outlineLvl w:val="0"/>
        <w:rPr>
          <w:rFonts w:ascii="Garamond" w:eastAsia="Garamond" w:hAnsi="Garamond" w:cs="Garamond"/>
          <w:b/>
        </w:rPr>
      </w:pPr>
      <w:r w:rsidRPr="00C4717A">
        <w:rPr>
          <w:rFonts w:ascii="Garamond" w:eastAsia="Garamond" w:hAnsi="Garamond" w:cs="Garamond"/>
          <w:b/>
        </w:rPr>
        <w:t>Section 4.2—</w:t>
      </w:r>
      <w:r w:rsidR="005B29A1" w:rsidRPr="00C4717A">
        <w:rPr>
          <w:rFonts w:ascii="Garamond" w:eastAsia="Garamond" w:hAnsi="Garamond" w:cs="Garamond"/>
          <w:b/>
        </w:rPr>
        <w:t>Surro</w:t>
      </w:r>
      <w:r w:rsidR="005B29A1" w:rsidRPr="005B1297">
        <w:rPr>
          <w:rFonts w:ascii="Garamond" w:eastAsia="Garamond" w:hAnsi="Garamond" w:cs="Garamond"/>
          <w:b/>
        </w:rPr>
        <w:t>gate</w:t>
      </w:r>
      <w:r w:rsidR="00657628" w:rsidRPr="005B1297">
        <w:rPr>
          <w:rFonts w:ascii="Garamond" w:eastAsia="Garamond" w:hAnsi="Garamond" w:cs="Garamond"/>
          <w:b/>
        </w:rPr>
        <w:t>-Requested</w:t>
      </w:r>
      <w:r w:rsidR="005B29A1" w:rsidRPr="005B1297">
        <w:rPr>
          <w:rFonts w:ascii="Garamond" w:eastAsia="Garamond" w:hAnsi="Garamond" w:cs="Garamond"/>
          <w:b/>
        </w:rPr>
        <w:t xml:space="preserve"> </w:t>
      </w:r>
      <w:r w:rsidR="00843CB9" w:rsidRPr="005B1297">
        <w:rPr>
          <w:rFonts w:ascii="Garamond" w:eastAsia="Garamond" w:hAnsi="Garamond" w:cs="Garamond"/>
          <w:b/>
        </w:rPr>
        <w:t>PAD</w:t>
      </w:r>
      <w:r w:rsidR="005B29A1" w:rsidRPr="005B1297">
        <w:rPr>
          <w:rFonts w:ascii="Garamond" w:eastAsia="Garamond" w:hAnsi="Garamond" w:cs="Garamond"/>
          <w:b/>
        </w:rPr>
        <w:t xml:space="preserve"> </w:t>
      </w:r>
      <w:r w:rsidR="00C477DB" w:rsidRPr="005B1297">
        <w:rPr>
          <w:rFonts w:ascii="Garamond" w:eastAsia="Garamond" w:hAnsi="Garamond" w:cs="Garamond"/>
          <w:b/>
        </w:rPr>
        <w:t>S</w:t>
      </w:r>
      <w:r w:rsidR="005B29A1" w:rsidRPr="005B1297">
        <w:rPr>
          <w:rFonts w:ascii="Garamond" w:eastAsia="Garamond" w:hAnsi="Garamond" w:cs="Garamond"/>
          <w:b/>
        </w:rPr>
        <w:t xml:space="preserve">hould </w:t>
      </w:r>
      <w:r w:rsidR="00C477DB" w:rsidRPr="00A43FD1">
        <w:rPr>
          <w:rFonts w:ascii="Garamond" w:eastAsia="Garamond" w:hAnsi="Garamond" w:cs="Garamond"/>
          <w:b/>
        </w:rPr>
        <w:t>B</w:t>
      </w:r>
      <w:r w:rsidR="005B29A1" w:rsidRPr="00A43FD1">
        <w:rPr>
          <w:rFonts w:ascii="Garamond" w:eastAsia="Garamond" w:hAnsi="Garamond" w:cs="Garamond"/>
          <w:b/>
        </w:rPr>
        <w:t xml:space="preserve">e </w:t>
      </w:r>
      <w:r w:rsidR="00C477DB" w:rsidRPr="00A43FD1">
        <w:rPr>
          <w:rFonts w:ascii="Garamond" w:eastAsia="Garamond" w:hAnsi="Garamond" w:cs="Garamond"/>
          <w:b/>
        </w:rPr>
        <w:t>L</w:t>
      </w:r>
      <w:r w:rsidR="005B29A1" w:rsidRPr="00A43FD1">
        <w:rPr>
          <w:rFonts w:ascii="Garamond" w:eastAsia="Garamond" w:hAnsi="Garamond" w:cs="Garamond"/>
          <w:b/>
        </w:rPr>
        <w:t>egalized</w:t>
      </w:r>
    </w:p>
    <w:p w14:paraId="2E619192" w14:textId="40841565" w:rsidR="00C90902" w:rsidRPr="0080605C" w:rsidRDefault="00E57AD9" w:rsidP="00EA3155">
      <w:pPr>
        <w:spacing w:line="480" w:lineRule="auto"/>
        <w:jc w:val="both"/>
        <w:outlineLvl w:val="0"/>
        <w:rPr>
          <w:rFonts w:ascii="Garamond" w:eastAsia="Garamond" w:hAnsi="Garamond" w:cs="Garamond"/>
        </w:rPr>
      </w:pPr>
      <w:r w:rsidRPr="001A26FE">
        <w:rPr>
          <w:rFonts w:ascii="Garamond" w:eastAsia="Garamond" w:hAnsi="Garamond" w:cs="Garamond"/>
        </w:rPr>
        <w:t xml:space="preserve">Now to consider surrogate-requested PAD. </w:t>
      </w:r>
      <w:r w:rsidR="00C90902" w:rsidRPr="002B5CD1">
        <w:rPr>
          <w:rFonts w:ascii="Garamond" w:eastAsia="Garamond" w:hAnsi="Garamond" w:cs="Garamond"/>
        </w:rPr>
        <w:t xml:space="preserve">As in the case of </w:t>
      </w:r>
      <w:r w:rsidR="00C26B5C" w:rsidRPr="002B5CD1">
        <w:rPr>
          <w:rFonts w:ascii="Garamond" w:eastAsia="Garamond" w:hAnsi="Garamond" w:cs="Garamond"/>
        </w:rPr>
        <w:t>advance directive-requested</w:t>
      </w:r>
      <w:r w:rsidR="00C90902" w:rsidRPr="002B5CD1">
        <w:rPr>
          <w:rFonts w:ascii="Garamond" w:eastAsia="Garamond" w:hAnsi="Garamond" w:cs="Garamond"/>
        </w:rPr>
        <w:t xml:space="preserve"> </w:t>
      </w:r>
      <w:r w:rsidR="00843CB9" w:rsidRPr="002B5CD1">
        <w:rPr>
          <w:rFonts w:ascii="Garamond" w:eastAsia="Garamond" w:hAnsi="Garamond" w:cs="Garamond"/>
        </w:rPr>
        <w:t>PAD</w:t>
      </w:r>
      <w:r w:rsidR="00C90902" w:rsidRPr="002B5CD1">
        <w:rPr>
          <w:rFonts w:ascii="Garamond" w:eastAsia="Garamond" w:hAnsi="Garamond" w:cs="Garamond"/>
        </w:rPr>
        <w:t>, the mai</w:t>
      </w:r>
      <w:r w:rsidR="00C90902" w:rsidRPr="0080605C">
        <w:rPr>
          <w:rFonts w:ascii="Garamond" w:eastAsia="Garamond" w:hAnsi="Garamond" w:cs="Garamond"/>
        </w:rPr>
        <w:t xml:space="preserve">n concern with legalizing </w:t>
      </w:r>
      <w:r w:rsidR="00C26B5C" w:rsidRPr="0080605C">
        <w:rPr>
          <w:rFonts w:ascii="Garamond" w:eastAsia="Garamond" w:hAnsi="Garamond" w:cs="Garamond"/>
        </w:rPr>
        <w:t>surrogate-requested</w:t>
      </w:r>
      <w:r w:rsidR="00C90902" w:rsidRPr="0080605C">
        <w:rPr>
          <w:rFonts w:ascii="Garamond" w:eastAsia="Garamond" w:hAnsi="Garamond" w:cs="Garamond"/>
        </w:rPr>
        <w:t xml:space="preserve"> </w:t>
      </w:r>
      <w:r w:rsidR="00843CB9" w:rsidRPr="0080605C">
        <w:rPr>
          <w:rFonts w:ascii="Garamond" w:eastAsia="Garamond" w:hAnsi="Garamond" w:cs="Garamond"/>
        </w:rPr>
        <w:t>PAD</w:t>
      </w:r>
      <w:r w:rsidR="00C90902" w:rsidRPr="0080605C">
        <w:rPr>
          <w:rFonts w:ascii="Garamond" w:eastAsia="Garamond" w:hAnsi="Garamond" w:cs="Garamond"/>
        </w:rPr>
        <w:t xml:space="preserve"> is that it would allow surrogates to make decisions that fail to respect patients’ nonalienation. </w:t>
      </w:r>
      <w:r w:rsidR="001D0F0A" w:rsidRPr="0080605C">
        <w:rPr>
          <w:rFonts w:ascii="Garamond" w:eastAsia="Garamond" w:hAnsi="Garamond" w:cs="Garamond"/>
        </w:rPr>
        <w:t>In addition, we may worry that</w:t>
      </w:r>
      <w:r w:rsidR="00C90902" w:rsidRPr="0080605C">
        <w:rPr>
          <w:rFonts w:ascii="Garamond" w:eastAsia="Garamond" w:hAnsi="Garamond" w:cs="Garamond"/>
        </w:rPr>
        <w:t xml:space="preserve"> individuals may come to serve as surrogates in ways that bear no connection to patients’ choices, thus undermining </w:t>
      </w:r>
      <w:r w:rsidRPr="0080605C">
        <w:rPr>
          <w:rFonts w:ascii="Garamond" w:eastAsia="Garamond" w:hAnsi="Garamond" w:cs="Garamond"/>
        </w:rPr>
        <w:t>their</w:t>
      </w:r>
      <w:r w:rsidR="00C90902" w:rsidRPr="0080605C">
        <w:rPr>
          <w:rFonts w:ascii="Garamond" w:eastAsia="Garamond" w:hAnsi="Garamond" w:cs="Garamond"/>
        </w:rPr>
        <w:t xml:space="preserve"> sovereignty. </w:t>
      </w:r>
    </w:p>
    <w:p w14:paraId="701A4E2D" w14:textId="26359A03" w:rsidR="00C90902" w:rsidRPr="0080605C" w:rsidRDefault="00C90902" w:rsidP="00EA3155">
      <w:pPr>
        <w:spacing w:line="480" w:lineRule="auto"/>
        <w:ind w:firstLine="720"/>
        <w:jc w:val="both"/>
        <w:rPr>
          <w:rFonts w:ascii="Garamond" w:eastAsia="Times New Roman" w:hAnsi="Garamond" w:cs="Times New Roman"/>
        </w:rPr>
      </w:pPr>
      <w:r w:rsidRPr="0080605C">
        <w:rPr>
          <w:rFonts w:ascii="Garamond" w:eastAsia="Garamond" w:hAnsi="Garamond" w:cs="Garamond"/>
        </w:rPr>
        <w:t>The severity of these worries differ</w:t>
      </w:r>
      <w:r w:rsidR="00C26B5C" w:rsidRPr="0080605C">
        <w:rPr>
          <w:rFonts w:ascii="Garamond" w:eastAsia="Garamond" w:hAnsi="Garamond" w:cs="Garamond"/>
        </w:rPr>
        <w:t>s</w:t>
      </w:r>
      <w:r w:rsidRPr="0080605C">
        <w:rPr>
          <w:rFonts w:ascii="Garamond" w:eastAsia="Garamond" w:hAnsi="Garamond" w:cs="Garamond"/>
        </w:rPr>
        <w:t xml:space="preserve"> depending on how surrogates are appointed. Ideally, surrogates are appointed explicitly by patients in an advance directive. In less ideal cases, patients lack </w:t>
      </w:r>
      <w:r w:rsidRPr="0080605C">
        <w:rPr>
          <w:rFonts w:ascii="Garamond" w:eastAsia="Garamond" w:hAnsi="Garamond" w:cs="Garamond"/>
        </w:rPr>
        <w:lastRenderedPageBreak/>
        <w:t>an advance directive that appoints a surrogate decision</w:t>
      </w:r>
      <w:r w:rsidR="00F07ED9">
        <w:rPr>
          <w:rFonts w:ascii="Garamond" w:eastAsia="Garamond" w:hAnsi="Garamond" w:cs="Garamond"/>
        </w:rPr>
        <w:t xml:space="preserve"> </w:t>
      </w:r>
      <w:r w:rsidRPr="0080605C">
        <w:rPr>
          <w:rFonts w:ascii="Garamond" w:eastAsia="Garamond" w:hAnsi="Garamond" w:cs="Garamond"/>
        </w:rPr>
        <w:t xml:space="preserve">maker, and so, one is designated for them via a legal mechanism. In such cases, surrogates are typically selected based on the closeness of the relationship that they share with the patient; spouses have the strongest claim to act as surrogates, then children and parents, then less closely-related relatives. </w:t>
      </w:r>
      <w:r w:rsidR="008647EE" w:rsidRPr="0080605C">
        <w:rPr>
          <w:rFonts w:ascii="Garamond" w:eastAsia="Garamond" w:hAnsi="Garamond" w:cs="Garamond"/>
        </w:rPr>
        <w:t>If</w:t>
      </w:r>
      <w:r w:rsidRPr="0080605C">
        <w:rPr>
          <w:rFonts w:ascii="Garamond" w:eastAsia="Garamond" w:hAnsi="Garamond" w:cs="Garamond"/>
        </w:rPr>
        <w:t xml:space="preserve"> </w:t>
      </w:r>
      <w:r w:rsidR="00C10DF5" w:rsidRPr="0080605C">
        <w:rPr>
          <w:rFonts w:ascii="Garamond" w:eastAsia="Garamond" w:hAnsi="Garamond" w:cs="Garamond"/>
        </w:rPr>
        <w:t xml:space="preserve">a </w:t>
      </w:r>
      <w:r w:rsidRPr="0080605C">
        <w:rPr>
          <w:rFonts w:ascii="Garamond" w:eastAsia="Garamond" w:hAnsi="Garamond" w:cs="Garamond"/>
        </w:rPr>
        <w:t xml:space="preserve">patient has no family members capable of or willing to serve as a surrogate, </w:t>
      </w:r>
      <w:r w:rsidR="00C10DF5" w:rsidRPr="0080605C">
        <w:rPr>
          <w:rFonts w:ascii="Garamond" w:eastAsia="Garamond" w:hAnsi="Garamond" w:cs="Garamond"/>
        </w:rPr>
        <w:t xml:space="preserve">the state will appoint </w:t>
      </w:r>
      <w:r w:rsidRPr="0080605C">
        <w:rPr>
          <w:rFonts w:ascii="Garamond" w:eastAsia="Garamond" w:hAnsi="Garamond" w:cs="Garamond"/>
        </w:rPr>
        <w:t>an unrelated third party. </w:t>
      </w:r>
    </w:p>
    <w:p w14:paraId="34867F75" w14:textId="71622227" w:rsidR="000D7B61" w:rsidRPr="0080605C" w:rsidRDefault="00FB7315" w:rsidP="00E57AD9">
      <w:pPr>
        <w:spacing w:line="480" w:lineRule="auto"/>
        <w:ind w:firstLine="720"/>
        <w:jc w:val="both"/>
        <w:rPr>
          <w:rFonts w:ascii="Garamond" w:eastAsia="Garamond" w:hAnsi="Garamond" w:cs="Garamond"/>
        </w:rPr>
      </w:pPr>
      <w:r w:rsidRPr="0080605C">
        <w:rPr>
          <w:rFonts w:ascii="Garamond" w:eastAsia="Garamond" w:hAnsi="Garamond" w:cs="Garamond"/>
        </w:rPr>
        <w:t>We</w:t>
      </w:r>
      <w:r w:rsidR="006E0871" w:rsidRPr="0080605C">
        <w:rPr>
          <w:rFonts w:ascii="Garamond" w:eastAsia="Garamond" w:hAnsi="Garamond" w:cs="Garamond"/>
        </w:rPr>
        <w:t xml:space="preserve"> </w:t>
      </w:r>
      <w:r w:rsidR="00C90902" w:rsidRPr="0080605C">
        <w:rPr>
          <w:rFonts w:ascii="Garamond" w:eastAsia="Garamond" w:hAnsi="Garamond" w:cs="Garamond"/>
        </w:rPr>
        <w:t>can divide surrogate decision</w:t>
      </w:r>
      <w:r w:rsidR="00F07ED9">
        <w:rPr>
          <w:rFonts w:ascii="Garamond" w:eastAsia="Garamond" w:hAnsi="Garamond" w:cs="Garamond"/>
        </w:rPr>
        <w:t xml:space="preserve"> </w:t>
      </w:r>
      <w:r w:rsidR="00C90902" w:rsidRPr="0080605C">
        <w:rPr>
          <w:rFonts w:ascii="Garamond" w:eastAsia="Garamond" w:hAnsi="Garamond" w:cs="Garamond"/>
        </w:rPr>
        <w:t>makers into different categories based on the method of their designation, and the relationship that they bear to the patient:</w:t>
      </w:r>
    </w:p>
    <w:tbl>
      <w:tblPr>
        <w:tblW w:w="8365" w:type="dxa"/>
        <w:jc w:val="center"/>
        <w:tblLayout w:type="fixed"/>
        <w:tblLook w:val="0400" w:firstRow="0" w:lastRow="0" w:firstColumn="0" w:lastColumn="0" w:noHBand="0" w:noVBand="1"/>
      </w:tblPr>
      <w:tblGrid>
        <w:gridCol w:w="1345"/>
        <w:gridCol w:w="3600"/>
        <w:gridCol w:w="3420"/>
      </w:tblGrid>
      <w:tr w:rsidR="00C90902" w:rsidRPr="0080605C" w14:paraId="4853C757" w14:textId="77777777" w:rsidTr="00C10DF5">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8591C" w14:textId="77777777" w:rsidR="00C90902" w:rsidRPr="0080605C" w:rsidRDefault="00C90902" w:rsidP="0060239C">
            <w:pPr>
              <w:spacing w:line="360" w:lineRule="auto"/>
              <w:jc w:val="both"/>
              <w:rPr>
                <w:rFonts w:ascii="Garamond" w:eastAsia="Times New Roman" w:hAnsi="Garamond" w:cs="Times New Roman"/>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F7550" w14:textId="77777777" w:rsidR="00C90902" w:rsidRPr="0080605C" w:rsidRDefault="00C90902" w:rsidP="0060239C">
            <w:pPr>
              <w:spacing w:line="360" w:lineRule="auto"/>
              <w:jc w:val="both"/>
              <w:rPr>
                <w:rFonts w:ascii="Garamond" w:eastAsia="Times New Roman" w:hAnsi="Garamond" w:cs="Times New Roman"/>
                <w:b/>
              </w:rPr>
            </w:pPr>
            <w:r w:rsidRPr="0080605C">
              <w:rPr>
                <w:rFonts w:ascii="Garamond" w:eastAsia="Garamond" w:hAnsi="Garamond" w:cs="Garamond"/>
                <w:b/>
              </w:rPr>
              <w:t>Patient-Appointed</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7EDD" w14:textId="77777777" w:rsidR="00C90902" w:rsidRPr="0080605C" w:rsidRDefault="00C90902" w:rsidP="0060239C">
            <w:pPr>
              <w:spacing w:line="360" w:lineRule="auto"/>
              <w:jc w:val="both"/>
              <w:rPr>
                <w:rFonts w:ascii="Garamond" w:eastAsia="Times New Roman" w:hAnsi="Garamond" w:cs="Times New Roman"/>
                <w:b/>
              </w:rPr>
            </w:pPr>
            <w:r w:rsidRPr="0080605C">
              <w:rPr>
                <w:rFonts w:ascii="Garamond" w:eastAsia="Garamond" w:hAnsi="Garamond" w:cs="Garamond"/>
                <w:b/>
              </w:rPr>
              <w:t>State-Appointed</w:t>
            </w:r>
          </w:p>
        </w:tc>
      </w:tr>
      <w:tr w:rsidR="00C90902" w:rsidRPr="0080605C" w14:paraId="3018AC1D" w14:textId="77777777" w:rsidTr="00C10DF5">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133364" w14:textId="77777777" w:rsidR="00C90902" w:rsidRPr="00993785" w:rsidRDefault="00C90902" w:rsidP="0060239C">
            <w:pPr>
              <w:spacing w:line="360" w:lineRule="auto"/>
              <w:jc w:val="both"/>
              <w:rPr>
                <w:rFonts w:ascii="Garamond" w:eastAsia="Times New Roman" w:hAnsi="Garamond" w:cs="Times New Roman"/>
                <w:b/>
              </w:rPr>
            </w:pPr>
            <w:r w:rsidRPr="00993785">
              <w:rPr>
                <w:rFonts w:ascii="Garamond" w:eastAsia="Garamond" w:hAnsi="Garamond" w:cs="Garamond"/>
                <w:b/>
              </w:rPr>
              <w:t>Familiar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7548C" w14:textId="22BB1DB8" w:rsidR="00C90902" w:rsidRPr="005B1297" w:rsidRDefault="00C90902" w:rsidP="0060239C">
            <w:pPr>
              <w:spacing w:line="360" w:lineRule="auto"/>
              <w:jc w:val="both"/>
              <w:rPr>
                <w:rFonts w:ascii="Garamond" w:eastAsia="Times New Roman" w:hAnsi="Garamond" w:cs="Times New Roman"/>
              </w:rPr>
            </w:pPr>
            <w:r w:rsidRPr="00C4717A">
              <w:rPr>
                <w:rFonts w:ascii="Garamond" w:eastAsia="Garamond" w:hAnsi="Garamond" w:cs="Garamond"/>
              </w:rPr>
              <w:t>“</w:t>
            </w:r>
            <w:r w:rsidR="00C26B5C" w:rsidRPr="00C4717A">
              <w:rPr>
                <w:rFonts w:ascii="Garamond" w:eastAsia="Garamond" w:hAnsi="Garamond" w:cs="Garamond"/>
              </w:rPr>
              <w:t>patient</w:t>
            </w:r>
            <w:r w:rsidR="0012736B" w:rsidRPr="005B1297">
              <w:rPr>
                <w:rFonts w:ascii="Garamond" w:eastAsia="Garamond" w:hAnsi="Garamond" w:cs="Garamond"/>
              </w:rPr>
              <w:t>-</w:t>
            </w:r>
            <w:r w:rsidR="00C26B5C" w:rsidRPr="005B1297">
              <w:rPr>
                <w:rFonts w:ascii="Garamond" w:eastAsia="Garamond" w:hAnsi="Garamond" w:cs="Garamond"/>
              </w:rPr>
              <w:t>appointed, familiar</w:t>
            </w:r>
            <w:r w:rsidRPr="005B1297">
              <w:rPr>
                <w:rFonts w:ascii="Garamond" w:eastAsia="Garamond" w:hAnsi="Garamond" w:cs="Garamond"/>
              </w:rPr>
              <w: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49E45" w14:textId="274E82AF" w:rsidR="00C90902" w:rsidRPr="0060239C" w:rsidRDefault="00C90902" w:rsidP="0060239C">
            <w:pPr>
              <w:spacing w:line="360" w:lineRule="auto"/>
              <w:jc w:val="both"/>
              <w:rPr>
                <w:rFonts w:ascii="Garamond" w:eastAsia="Garamond" w:hAnsi="Garamond" w:cs="Garamond"/>
              </w:rPr>
            </w:pPr>
            <w:r w:rsidRPr="005B1297">
              <w:rPr>
                <w:rFonts w:ascii="Garamond" w:eastAsia="Garamond" w:hAnsi="Garamond" w:cs="Garamond"/>
              </w:rPr>
              <w:t>“</w:t>
            </w:r>
            <w:r w:rsidR="00C26B5C" w:rsidRPr="00A43FD1">
              <w:rPr>
                <w:rFonts w:ascii="Garamond" w:eastAsia="Garamond" w:hAnsi="Garamond" w:cs="Garamond"/>
              </w:rPr>
              <w:t>state</w:t>
            </w:r>
            <w:r w:rsidR="0012736B" w:rsidRPr="00A43FD1">
              <w:rPr>
                <w:rFonts w:ascii="Garamond" w:eastAsia="Garamond" w:hAnsi="Garamond" w:cs="Garamond"/>
              </w:rPr>
              <w:t>-</w:t>
            </w:r>
            <w:r w:rsidR="00C26B5C" w:rsidRPr="00A43FD1">
              <w:rPr>
                <w:rFonts w:ascii="Garamond" w:eastAsia="Garamond" w:hAnsi="Garamond" w:cs="Garamond"/>
              </w:rPr>
              <w:t>appointed, familiar</w:t>
            </w:r>
            <w:r w:rsidRPr="00A43FD1">
              <w:rPr>
                <w:rFonts w:ascii="Garamond" w:eastAsia="Garamond" w:hAnsi="Garamond" w:cs="Garamond"/>
              </w:rPr>
              <w:t>”</w:t>
            </w:r>
          </w:p>
        </w:tc>
      </w:tr>
      <w:tr w:rsidR="00C90902" w:rsidRPr="0080605C" w14:paraId="401B366D" w14:textId="77777777" w:rsidTr="00C10DF5">
        <w:trPr>
          <w:jc w:val="center"/>
        </w:trPr>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F8F81" w14:textId="77777777" w:rsidR="00C90902" w:rsidRPr="00993785" w:rsidRDefault="00C90902" w:rsidP="0060239C">
            <w:pPr>
              <w:spacing w:line="360" w:lineRule="auto"/>
              <w:jc w:val="both"/>
              <w:rPr>
                <w:rFonts w:ascii="Garamond" w:eastAsia="Times New Roman" w:hAnsi="Garamond" w:cs="Times New Roman"/>
                <w:b/>
              </w:rPr>
            </w:pPr>
            <w:r w:rsidRPr="00993785">
              <w:rPr>
                <w:rFonts w:ascii="Garamond" w:eastAsia="Garamond" w:hAnsi="Garamond" w:cs="Garamond"/>
                <w:b/>
              </w:rPr>
              <w:t>Unfamiliar</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11FD4" w14:textId="018236AB" w:rsidR="00C90902" w:rsidRPr="005B1297" w:rsidRDefault="00C90902" w:rsidP="0060239C">
            <w:pPr>
              <w:spacing w:line="360" w:lineRule="auto"/>
              <w:jc w:val="both"/>
              <w:rPr>
                <w:rFonts w:ascii="Garamond" w:eastAsia="Garamond" w:hAnsi="Garamond" w:cs="Garamond"/>
              </w:rPr>
            </w:pPr>
            <w:r w:rsidRPr="00C4717A">
              <w:rPr>
                <w:rFonts w:ascii="Garamond" w:eastAsia="Garamond" w:hAnsi="Garamond" w:cs="Garamond"/>
              </w:rPr>
              <w:t>“</w:t>
            </w:r>
            <w:r w:rsidR="00C26B5C" w:rsidRPr="00C4717A">
              <w:rPr>
                <w:rFonts w:ascii="Garamond" w:eastAsia="Garamond" w:hAnsi="Garamond" w:cs="Garamond"/>
              </w:rPr>
              <w:t>patient</w:t>
            </w:r>
            <w:r w:rsidR="0012736B" w:rsidRPr="005B1297">
              <w:rPr>
                <w:rFonts w:ascii="Garamond" w:eastAsia="Garamond" w:hAnsi="Garamond" w:cs="Garamond"/>
              </w:rPr>
              <w:t>-</w:t>
            </w:r>
            <w:r w:rsidR="00C26B5C" w:rsidRPr="005B1297">
              <w:rPr>
                <w:rFonts w:ascii="Garamond" w:eastAsia="Garamond" w:hAnsi="Garamond" w:cs="Garamond"/>
              </w:rPr>
              <w:t>appointed, unfamiliar</w:t>
            </w:r>
            <w:r w:rsidRPr="005B1297">
              <w:rPr>
                <w:rFonts w:ascii="Garamond" w:eastAsia="Garamond" w:hAnsi="Garamond" w:cs="Garamond"/>
              </w:rPr>
              <w:t>”</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FAF0D" w14:textId="727901FF" w:rsidR="00C90902" w:rsidRPr="0060239C" w:rsidRDefault="00C90902" w:rsidP="0060239C">
            <w:pPr>
              <w:spacing w:line="360" w:lineRule="auto"/>
              <w:jc w:val="both"/>
              <w:rPr>
                <w:rFonts w:ascii="Garamond" w:eastAsia="Garamond" w:hAnsi="Garamond" w:cs="Garamond"/>
              </w:rPr>
            </w:pPr>
            <w:r w:rsidRPr="005B1297">
              <w:rPr>
                <w:rFonts w:ascii="Garamond" w:eastAsia="Garamond" w:hAnsi="Garamond" w:cs="Garamond"/>
              </w:rPr>
              <w:t>“</w:t>
            </w:r>
            <w:r w:rsidR="00C26B5C" w:rsidRPr="00A43FD1">
              <w:rPr>
                <w:rFonts w:ascii="Garamond" w:eastAsia="Garamond" w:hAnsi="Garamond" w:cs="Garamond"/>
              </w:rPr>
              <w:t>state</w:t>
            </w:r>
            <w:r w:rsidR="0012736B" w:rsidRPr="00A43FD1">
              <w:rPr>
                <w:rFonts w:ascii="Garamond" w:eastAsia="Garamond" w:hAnsi="Garamond" w:cs="Garamond"/>
              </w:rPr>
              <w:t>-</w:t>
            </w:r>
            <w:r w:rsidR="00C26B5C" w:rsidRPr="00A43FD1">
              <w:rPr>
                <w:rFonts w:ascii="Garamond" w:eastAsia="Garamond" w:hAnsi="Garamond" w:cs="Garamond"/>
              </w:rPr>
              <w:t>appointed, unfamiliar</w:t>
            </w:r>
            <w:r w:rsidRPr="00A43FD1">
              <w:rPr>
                <w:rFonts w:ascii="Garamond" w:eastAsia="Garamond" w:hAnsi="Garamond" w:cs="Garamond"/>
              </w:rPr>
              <w:t>”</w:t>
            </w:r>
          </w:p>
        </w:tc>
      </w:tr>
    </w:tbl>
    <w:p w14:paraId="57FDD52A" w14:textId="77777777" w:rsidR="00204C6A" w:rsidRPr="00993785" w:rsidRDefault="00204C6A" w:rsidP="00EA3155">
      <w:pPr>
        <w:spacing w:line="480" w:lineRule="auto"/>
        <w:jc w:val="both"/>
        <w:rPr>
          <w:rFonts w:ascii="Garamond" w:eastAsia="Garamond" w:hAnsi="Garamond" w:cs="Garamond"/>
        </w:rPr>
      </w:pPr>
    </w:p>
    <w:p w14:paraId="45B0E1E4" w14:textId="5CC533CB" w:rsidR="00FB7315" w:rsidRPr="002B5CD1" w:rsidRDefault="00FB7315" w:rsidP="00EA3155">
      <w:pPr>
        <w:spacing w:line="480" w:lineRule="auto"/>
        <w:jc w:val="both"/>
        <w:rPr>
          <w:rFonts w:ascii="Garamond" w:eastAsia="Garamond" w:hAnsi="Garamond" w:cs="Garamond"/>
        </w:rPr>
      </w:pPr>
      <w:r w:rsidRPr="00C4717A">
        <w:rPr>
          <w:rFonts w:ascii="Garamond" w:eastAsia="Garamond" w:hAnsi="Garamond" w:cs="Garamond"/>
        </w:rPr>
        <w:t>In the next two subsections,</w:t>
      </w:r>
      <w:r w:rsidR="00C90902" w:rsidRPr="00C4717A">
        <w:rPr>
          <w:rFonts w:ascii="Garamond" w:eastAsia="Garamond" w:hAnsi="Garamond" w:cs="Garamond"/>
        </w:rPr>
        <w:t xml:space="preserve"> </w:t>
      </w:r>
      <w:r w:rsidRPr="005B1297">
        <w:rPr>
          <w:rFonts w:ascii="Garamond" w:eastAsia="Garamond" w:hAnsi="Garamond" w:cs="Garamond"/>
        </w:rPr>
        <w:t>w</w:t>
      </w:r>
      <w:r w:rsidR="00C90902" w:rsidRPr="005B1297">
        <w:rPr>
          <w:rFonts w:ascii="Garamond" w:eastAsia="Garamond" w:hAnsi="Garamond" w:cs="Garamond"/>
        </w:rPr>
        <w:t>e</w:t>
      </w:r>
      <w:r w:rsidR="00F07ED9">
        <w:rPr>
          <w:rFonts w:ascii="Garamond" w:eastAsia="Garamond" w:hAnsi="Garamond" w:cs="Garamond"/>
        </w:rPr>
        <w:t xml:space="preserve"> wi</w:t>
      </w:r>
      <w:r w:rsidRPr="005B1297">
        <w:rPr>
          <w:rFonts w:ascii="Garamond" w:eastAsia="Garamond" w:hAnsi="Garamond" w:cs="Garamond"/>
        </w:rPr>
        <w:t xml:space="preserve">ll </w:t>
      </w:r>
      <w:r w:rsidR="00C90902" w:rsidRPr="005B1297">
        <w:rPr>
          <w:rFonts w:ascii="Garamond" w:eastAsia="Garamond" w:hAnsi="Garamond" w:cs="Garamond"/>
        </w:rPr>
        <w:t xml:space="preserve">examine whether the risks of </w:t>
      </w:r>
      <w:r w:rsidR="00C26B5C" w:rsidRPr="005B1297">
        <w:rPr>
          <w:rFonts w:ascii="Garamond" w:eastAsia="Garamond" w:hAnsi="Garamond" w:cs="Garamond"/>
        </w:rPr>
        <w:t>allowing surrogates in these various categories to request PAD</w:t>
      </w:r>
      <w:r w:rsidR="00C90902" w:rsidRPr="005B1297">
        <w:rPr>
          <w:rFonts w:ascii="Garamond" w:eastAsia="Garamond" w:hAnsi="Garamond" w:cs="Garamond"/>
        </w:rPr>
        <w:t xml:space="preserve"> are </w:t>
      </w:r>
      <w:r w:rsidR="00C26B5C" w:rsidRPr="00A43FD1">
        <w:rPr>
          <w:rFonts w:ascii="Garamond" w:eastAsia="Garamond" w:hAnsi="Garamond" w:cs="Garamond"/>
        </w:rPr>
        <w:t xml:space="preserve">sufficiently </w:t>
      </w:r>
      <w:r w:rsidR="00C90902" w:rsidRPr="00A43FD1">
        <w:rPr>
          <w:rFonts w:ascii="Garamond" w:eastAsia="Garamond" w:hAnsi="Garamond" w:cs="Garamond"/>
        </w:rPr>
        <w:t xml:space="preserve">large to undermine the case for </w:t>
      </w:r>
      <w:r w:rsidR="00C26B5C" w:rsidRPr="00A43FD1">
        <w:rPr>
          <w:rFonts w:ascii="Garamond" w:eastAsia="Garamond" w:hAnsi="Garamond" w:cs="Garamond"/>
        </w:rPr>
        <w:t xml:space="preserve">legally permitting this practice. </w:t>
      </w:r>
      <w:r w:rsidR="00C90902" w:rsidRPr="001A26FE">
        <w:rPr>
          <w:rFonts w:ascii="Garamond" w:eastAsia="Garamond" w:hAnsi="Garamond" w:cs="Garamond"/>
        </w:rPr>
        <w:t xml:space="preserve"> </w:t>
      </w:r>
    </w:p>
    <w:p w14:paraId="5CF55069" w14:textId="77777777" w:rsidR="004105A5" w:rsidRPr="0080605C" w:rsidRDefault="004105A5" w:rsidP="00EA3155">
      <w:pPr>
        <w:spacing w:line="480" w:lineRule="auto"/>
        <w:jc w:val="both"/>
        <w:rPr>
          <w:rFonts w:ascii="Garamond" w:eastAsia="Garamond" w:hAnsi="Garamond" w:cs="Garamond"/>
        </w:rPr>
      </w:pPr>
    </w:p>
    <w:p w14:paraId="3BA641FD" w14:textId="77777777" w:rsidR="00C90902" w:rsidRPr="0080605C" w:rsidRDefault="00C90902" w:rsidP="00EA3155">
      <w:pPr>
        <w:spacing w:line="480" w:lineRule="auto"/>
        <w:jc w:val="both"/>
        <w:outlineLvl w:val="0"/>
        <w:rPr>
          <w:rFonts w:ascii="Garamond" w:eastAsia="Garamond" w:hAnsi="Garamond" w:cs="Garamond"/>
          <w:b/>
        </w:rPr>
      </w:pPr>
      <w:r w:rsidRPr="0080605C">
        <w:rPr>
          <w:rFonts w:ascii="Garamond" w:eastAsia="Garamond" w:hAnsi="Garamond" w:cs="Garamond"/>
          <w:b/>
        </w:rPr>
        <w:t>Section 4.3—Patient-Appointed Surrogates</w:t>
      </w:r>
    </w:p>
    <w:p w14:paraId="743E5834" w14:textId="1460D5E1" w:rsidR="00C90902" w:rsidRPr="0080605C" w:rsidRDefault="00C90902" w:rsidP="00EA3155">
      <w:pPr>
        <w:spacing w:line="480" w:lineRule="auto"/>
        <w:jc w:val="both"/>
        <w:rPr>
          <w:rFonts w:ascii="Garamond" w:eastAsia="Garamond" w:hAnsi="Garamond" w:cs="Garamond"/>
        </w:rPr>
      </w:pPr>
      <w:r w:rsidRPr="0080605C">
        <w:rPr>
          <w:rFonts w:ascii="Garamond" w:eastAsia="Garamond" w:hAnsi="Garamond" w:cs="Garamond"/>
        </w:rPr>
        <w:t>Typically, patients appoint surrogates with whom they share their closest, familial relationships</w:t>
      </w:r>
      <w:r w:rsidR="00204C6A" w:rsidRPr="0080605C">
        <w:rPr>
          <w:rFonts w:ascii="Garamond" w:eastAsia="Garamond" w:hAnsi="Garamond" w:cs="Garamond"/>
        </w:rPr>
        <w:t>, but they may also</w:t>
      </w:r>
      <w:r w:rsidRPr="0080605C">
        <w:rPr>
          <w:rFonts w:ascii="Garamond" w:eastAsia="Garamond" w:hAnsi="Garamond" w:cs="Garamond"/>
        </w:rPr>
        <w:t xml:space="preserve"> appoint people with whom they do not share such relationships to serve as surrogates. We</w:t>
      </w:r>
      <w:r w:rsidR="00F07ED9">
        <w:rPr>
          <w:rFonts w:ascii="Garamond" w:eastAsia="Garamond" w:hAnsi="Garamond" w:cs="Garamond"/>
        </w:rPr>
        <w:t xml:space="preserve"> wi</w:t>
      </w:r>
      <w:r w:rsidRPr="0080605C">
        <w:rPr>
          <w:rFonts w:ascii="Garamond" w:eastAsia="Garamond" w:hAnsi="Garamond" w:cs="Garamond"/>
        </w:rPr>
        <w:t xml:space="preserve">ll consider both practices in turn, starting with </w:t>
      </w:r>
      <w:r w:rsidR="00C26B5C" w:rsidRPr="0080605C">
        <w:rPr>
          <w:rFonts w:ascii="Garamond" w:eastAsia="Garamond" w:hAnsi="Garamond" w:cs="Garamond"/>
        </w:rPr>
        <w:t>patient</w:t>
      </w:r>
      <w:r w:rsidR="0012736B" w:rsidRPr="0080605C">
        <w:rPr>
          <w:rFonts w:ascii="Garamond" w:eastAsia="Garamond" w:hAnsi="Garamond" w:cs="Garamond"/>
        </w:rPr>
        <w:t>-</w:t>
      </w:r>
      <w:r w:rsidR="00C26B5C" w:rsidRPr="0080605C">
        <w:rPr>
          <w:rFonts w:ascii="Garamond" w:eastAsia="Garamond" w:hAnsi="Garamond" w:cs="Garamond"/>
        </w:rPr>
        <w:t>appointed, familiar</w:t>
      </w:r>
      <w:r w:rsidRPr="0080605C">
        <w:rPr>
          <w:rFonts w:ascii="Garamond" w:eastAsia="Garamond" w:hAnsi="Garamond" w:cs="Garamond"/>
        </w:rPr>
        <w:t xml:space="preserve"> surrogates.</w:t>
      </w:r>
    </w:p>
    <w:p w14:paraId="16CAC62B" w14:textId="1C7F43AD" w:rsidR="00C90902" w:rsidRPr="0080605C" w:rsidRDefault="00204C6A" w:rsidP="00EA3155">
      <w:pPr>
        <w:spacing w:line="480" w:lineRule="auto"/>
        <w:ind w:firstLine="720"/>
        <w:jc w:val="both"/>
        <w:rPr>
          <w:rFonts w:ascii="Garamond" w:eastAsia="Garamond" w:hAnsi="Garamond" w:cs="Garamond"/>
        </w:rPr>
      </w:pPr>
      <w:r w:rsidRPr="0080605C">
        <w:rPr>
          <w:rFonts w:ascii="Garamond" w:eastAsia="Garamond" w:hAnsi="Garamond" w:cs="Garamond"/>
        </w:rPr>
        <w:t>Let</w:t>
      </w:r>
      <w:r w:rsidR="00F07ED9">
        <w:rPr>
          <w:rFonts w:ascii="Garamond" w:eastAsia="Garamond" w:hAnsi="Garamond" w:cs="Garamond"/>
        </w:rPr>
        <w:t xml:space="preserve"> u</w:t>
      </w:r>
      <w:r w:rsidRPr="0080605C">
        <w:rPr>
          <w:rFonts w:ascii="Garamond" w:eastAsia="Garamond" w:hAnsi="Garamond" w:cs="Garamond"/>
        </w:rPr>
        <w:t xml:space="preserve">s </w:t>
      </w:r>
      <w:r w:rsidR="00811E95" w:rsidRPr="0080605C">
        <w:rPr>
          <w:rFonts w:ascii="Garamond" w:eastAsia="Garamond" w:hAnsi="Garamond" w:cs="Garamond"/>
        </w:rPr>
        <w:t>start</w:t>
      </w:r>
      <w:r w:rsidRPr="0080605C">
        <w:rPr>
          <w:rFonts w:ascii="Garamond" w:eastAsia="Garamond" w:hAnsi="Garamond" w:cs="Garamond"/>
        </w:rPr>
        <w:t xml:space="preserve"> by </w:t>
      </w:r>
      <w:r w:rsidR="00C90902" w:rsidRPr="0080605C">
        <w:rPr>
          <w:rFonts w:ascii="Garamond" w:eastAsia="Garamond" w:hAnsi="Garamond" w:cs="Garamond"/>
        </w:rPr>
        <w:t>return</w:t>
      </w:r>
      <w:r w:rsidRPr="0080605C">
        <w:rPr>
          <w:rFonts w:ascii="Garamond" w:eastAsia="Garamond" w:hAnsi="Garamond" w:cs="Garamond"/>
        </w:rPr>
        <w:t>ing</w:t>
      </w:r>
      <w:r w:rsidR="00C90902" w:rsidRPr="0080605C">
        <w:rPr>
          <w:rFonts w:ascii="Garamond" w:eastAsia="Garamond" w:hAnsi="Garamond" w:cs="Garamond"/>
        </w:rPr>
        <w:t xml:space="preserve"> to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case.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doctors have two reasons that they can appeal to in order to explain why </w:t>
      </w:r>
      <w:r w:rsidR="00072335" w:rsidRPr="0080605C">
        <w:rPr>
          <w:rFonts w:ascii="Garamond" w:eastAsia="Garamond" w:hAnsi="Garamond" w:cs="Garamond"/>
        </w:rPr>
        <w:t xml:space="preserve">Fiona’s </w:t>
      </w:r>
      <w:r w:rsidR="00843CB9" w:rsidRPr="0080605C">
        <w:rPr>
          <w:rFonts w:ascii="Garamond" w:eastAsia="Garamond" w:hAnsi="Garamond" w:cs="Garamond"/>
        </w:rPr>
        <w:t>PAD</w:t>
      </w:r>
      <w:r w:rsidR="00C90902" w:rsidRPr="0080605C">
        <w:rPr>
          <w:rFonts w:ascii="Garamond" w:eastAsia="Garamond" w:hAnsi="Garamond" w:cs="Garamond"/>
        </w:rPr>
        <w:t xml:space="preserve"> request</w:t>
      </w:r>
      <w:r w:rsidR="00072335" w:rsidRPr="0080605C">
        <w:rPr>
          <w:rFonts w:ascii="Garamond" w:eastAsia="Garamond" w:hAnsi="Garamond" w:cs="Garamond"/>
        </w:rPr>
        <w:t xml:space="preserve"> for her husband</w:t>
      </w:r>
      <w:r w:rsidR="00C90902" w:rsidRPr="0080605C">
        <w:rPr>
          <w:rFonts w:ascii="Garamond" w:eastAsia="Garamond" w:hAnsi="Garamond" w:cs="Garamond"/>
        </w:rPr>
        <w:t xml:space="preserve"> ought to be respected. First, they have reasons relating to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sovereignty to respect her request, insofar as </w:t>
      </w:r>
      <w:r w:rsidR="00963870" w:rsidRPr="0080605C">
        <w:rPr>
          <w:rFonts w:ascii="Garamond" w:eastAsia="Garamond" w:hAnsi="Garamond" w:cs="Garamond"/>
        </w:rPr>
        <w:t xml:space="preserve">Francis </w:t>
      </w:r>
      <w:r w:rsidR="00C90902" w:rsidRPr="0080605C">
        <w:rPr>
          <w:rFonts w:ascii="Garamond" w:eastAsia="Garamond" w:hAnsi="Garamond" w:cs="Garamond"/>
        </w:rPr>
        <w:t>has appointed her to act as his proxy decision</w:t>
      </w:r>
      <w:r w:rsidR="00F07ED9">
        <w:rPr>
          <w:rFonts w:ascii="Garamond" w:eastAsia="Garamond" w:hAnsi="Garamond" w:cs="Garamond"/>
        </w:rPr>
        <w:t xml:space="preserve"> </w:t>
      </w:r>
      <w:r w:rsidR="00C90902" w:rsidRPr="0080605C">
        <w:rPr>
          <w:rFonts w:ascii="Garamond" w:eastAsia="Garamond" w:hAnsi="Garamond" w:cs="Garamond"/>
        </w:rPr>
        <w:t xml:space="preserve">maker. And second, they have reasons relating to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nonalienation, insofar as her </w:t>
      </w:r>
      <w:r w:rsidR="00811E95" w:rsidRPr="0080605C">
        <w:rPr>
          <w:rFonts w:ascii="Garamond" w:eastAsia="Garamond" w:hAnsi="Garamond" w:cs="Garamond"/>
        </w:rPr>
        <w:t>marriage to</w:t>
      </w:r>
      <w:r w:rsidR="00C90902" w:rsidRPr="0080605C">
        <w:rPr>
          <w:rFonts w:ascii="Garamond" w:eastAsia="Garamond" w:hAnsi="Garamond" w:cs="Garamond"/>
        </w:rPr>
        <w:t xml:space="preserve"> </w:t>
      </w:r>
      <w:r w:rsidR="00963870" w:rsidRPr="0080605C">
        <w:rPr>
          <w:rFonts w:ascii="Garamond" w:eastAsia="Garamond" w:hAnsi="Garamond" w:cs="Garamond"/>
        </w:rPr>
        <w:t xml:space="preserve">Francis </w:t>
      </w:r>
      <w:r w:rsidR="00C90902" w:rsidRPr="0080605C">
        <w:rPr>
          <w:rFonts w:ascii="Garamond" w:eastAsia="Garamond" w:hAnsi="Garamond" w:cs="Garamond"/>
        </w:rPr>
        <w:t>has given her special insight into his values and commitments.</w:t>
      </w:r>
    </w:p>
    <w:p w14:paraId="7C211C16" w14:textId="595400EA" w:rsidR="00C90902" w:rsidRPr="0080605C" w:rsidRDefault="002372C6" w:rsidP="00EA3155">
      <w:pPr>
        <w:spacing w:line="480" w:lineRule="auto"/>
        <w:ind w:firstLine="720"/>
        <w:jc w:val="both"/>
        <w:rPr>
          <w:rFonts w:ascii="Garamond" w:eastAsia="Garamond" w:hAnsi="Garamond" w:cs="Garamond"/>
        </w:rPr>
      </w:pPr>
      <w:r w:rsidRPr="0080605C">
        <w:rPr>
          <w:rFonts w:ascii="Garamond" w:eastAsia="Garamond" w:hAnsi="Garamond" w:cs="Garamond"/>
        </w:rPr>
        <w:lastRenderedPageBreak/>
        <w:t>If</w:t>
      </w:r>
      <w:r w:rsidR="00C90902" w:rsidRPr="0080605C">
        <w:rPr>
          <w:rFonts w:ascii="Garamond" w:eastAsia="Garamond" w:hAnsi="Garamond" w:cs="Garamond"/>
        </w:rPr>
        <w:t xml:space="preserve"> worries about </w:t>
      </w:r>
      <w:r w:rsidR="00072335" w:rsidRPr="0080605C">
        <w:rPr>
          <w:rFonts w:ascii="Garamond" w:eastAsia="Garamond" w:hAnsi="Garamond" w:cs="Garamond"/>
        </w:rPr>
        <w:t xml:space="preserve">Fiona’s </w:t>
      </w:r>
      <w:r w:rsidR="00C90902" w:rsidRPr="0080605C">
        <w:rPr>
          <w:rFonts w:ascii="Garamond" w:eastAsia="Garamond" w:hAnsi="Garamond" w:cs="Garamond"/>
        </w:rPr>
        <w:t xml:space="preserve">authority arise in practice, they will most likely arise in relation to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nonalienation. That is to say, his doctors might have reason to worry that, by requesting </w:t>
      </w:r>
      <w:r w:rsidR="00E5713C" w:rsidRPr="0080605C">
        <w:rPr>
          <w:rFonts w:ascii="Garamond" w:eastAsia="Garamond" w:hAnsi="Garamond" w:cs="Garamond"/>
        </w:rPr>
        <w:t>PAD for Francis,</w:t>
      </w:r>
      <w:r w:rsidR="00C90902" w:rsidRPr="0080605C">
        <w:rPr>
          <w:rFonts w:ascii="Garamond" w:eastAsia="Garamond" w:hAnsi="Garamond" w:cs="Garamond"/>
        </w:rPr>
        <w:t xml:space="preserve"> </w:t>
      </w:r>
      <w:r w:rsidR="00072335" w:rsidRPr="0080605C">
        <w:rPr>
          <w:rFonts w:ascii="Garamond" w:eastAsia="Garamond" w:hAnsi="Garamond" w:cs="Garamond"/>
        </w:rPr>
        <w:t xml:space="preserve">Fiona </w:t>
      </w:r>
      <w:r w:rsidR="00AA375F" w:rsidRPr="0080605C">
        <w:rPr>
          <w:rFonts w:ascii="Garamond" w:eastAsia="Garamond" w:hAnsi="Garamond" w:cs="Garamond"/>
        </w:rPr>
        <w:t>is not</w:t>
      </w:r>
      <w:r w:rsidR="00C90902" w:rsidRPr="0080605C">
        <w:rPr>
          <w:rFonts w:ascii="Garamond" w:eastAsia="Garamond" w:hAnsi="Garamond" w:cs="Garamond"/>
        </w:rPr>
        <w:t xml:space="preserve"> </w:t>
      </w:r>
      <w:r w:rsidR="00C90902" w:rsidRPr="0080605C">
        <w:rPr>
          <w:rFonts w:ascii="Garamond" w:eastAsia="Garamond" w:hAnsi="Garamond" w:cs="Garamond"/>
          <w:i/>
        </w:rPr>
        <w:t>really</w:t>
      </w:r>
      <w:r w:rsidR="00C90902" w:rsidRPr="0080605C">
        <w:rPr>
          <w:rFonts w:ascii="Garamond" w:eastAsia="Garamond" w:hAnsi="Garamond" w:cs="Garamond"/>
        </w:rPr>
        <w:t xml:space="preserve"> </w:t>
      </w:r>
      <w:r w:rsidRPr="0080605C">
        <w:rPr>
          <w:rFonts w:ascii="Garamond" w:eastAsia="Garamond" w:hAnsi="Garamond" w:cs="Garamond"/>
        </w:rPr>
        <w:t>respecting</w:t>
      </w:r>
      <w:r w:rsidR="00C90902" w:rsidRPr="0080605C">
        <w:rPr>
          <w:rFonts w:ascii="Garamond" w:eastAsia="Garamond" w:hAnsi="Garamond" w:cs="Garamond"/>
        </w:rPr>
        <w:t xml:space="preserve"> </w:t>
      </w:r>
      <w:r w:rsidR="00E5713C" w:rsidRPr="0080605C">
        <w:rPr>
          <w:rFonts w:ascii="Garamond" w:eastAsia="Garamond" w:hAnsi="Garamond" w:cs="Garamond"/>
        </w:rPr>
        <w:t>his</w:t>
      </w:r>
      <w:r w:rsidR="00963870" w:rsidRPr="0080605C">
        <w:rPr>
          <w:rFonts w:ascii="Garamond" w:eastAsia="Garamond" w:hAnsi="Garamond" w:cs="Garamond"/>
        </w:rPr>
        <w:t xml:space="preserve"> </w:t>
      </w:r>
      <w:r w:rsidR="00C90902" w:rsidRPr="0080605C">
        <w:rPr>
          <w:rFonts w:ascii="Garamond" w:eastAsia="Garamond" w:hAnsi="Garamond" w:cs="Garamond"/>
        </w:rPr>
        <w:t xml:space="preserve">values. </w:t>
      </w:r>
    </w:p>
    <w:p w14:paraId="1D3F683D" w14:textId="5BAC00B8" w:rsidR="00C90902" w:rsidRPr="005B1297" w:rsidRDefault="00C90902" w:rsidP="00EA3155">
      <w:pPr>
        <w:spacing w:line="480" w:lineRule="auto"/>
        <w:ind w:firstLine="720"/>
        <w:jc w:val="both"/>
        <w:rPr>
          <w:rFonts w:ascii="Garamond" w:eastAsia="Garamond" w:hAnsi="Garamond" w:cs="Garamond"/>
        </w:rPr>
      </w:pPr>
      <w:r w:rsidRPr="0080605C">
        <w:rPr>
          <w:rFonts w:ascii="Garamond" w:eastAsia="Garamond" w:hAnsi="Garamond" w:cs="Garamond"/>
        </w:rPr>
        <w:t xml:space="preserve">There is empirical evidence </w:t>
      </w:r>
      <w:r w:rsidR="009F7264" w:rsidRPr="0080605C">
        <w:rPr>
          <w:rFonts w:ascii="Garamond" w:eastAsia="Garamond" w:hAnsi="Garamond" w:cs="Garamond"/>
        </w:rPr>
        <w:t xml:space="preserve">that </w:t>
      </w:r>
      <w:r w:rsidR="003D6DF2" w:rsidRPr="0080605C">
        <w:rPr>
          <w:rFonts w:ascii="Garamond" w:eastAsia="Garamond" w:hAnsi="Garamond" w:cs="Garamond"/>
        </w:rPr>
        <w:t xml:space="preserve">arguably </w:t>
      </w:r>
      <w:r w:rsidRPr="0080605C">
        <w:rPr>
          <w:rFonts w:ascii="Garamond" w:eastAsia="Garamond" w:hAnsi="Garamond" w:cs="Garamond"/>
        </w:rPr>
        <w:t>support</w:t>
      </w:r>
      <w:r w:rsidR="009F7264" w:rsidRPr="0080605C">
        <w:rPr>
          <w:rFonts w:ascii="Garamond" w:eastAsia="Garamond" w:hAnsi="Garamond" w:cs="Garamond"/>
        </w:rPr>
        <w:t>s</w:t>
      </w:r>
      <w:r w:rsidRPr="0080605C">
        <w:rPr>
          <w:rFonts w:ascii="Garamond" w:eastAsia="Garamond" w:hAnsi="Garamond" w:cs="Garamond"/>
        </w:rPr>
        <w:t xml:space="preserve"> this worry. A meta</w:t>
      </w:r>
      <w:r w:rsidR="00F07ED9">
        <w:rPr>
          <w:rFonts w:ascii="Garamond" w:eastAsia="Garamond" w:hAnsi="Garamond" w:cs="Garamond"/>
        </w:rPr>
        <w:t xml:space="preserve"> </w:t>
      </w:r>
      <w:r w:rsidRPr="0080605C">
        <w:rPr>
          <w:rFonts w:ascii="Garamond" w:eastAsia="Garamond" w:hAnsi="Garamond" w:cs="Garamond"/>
        </w:rPr>
        <w:t>study on surrogate decision-making and patient preferences found that patient-designated and next-of-kin surrogates predicted patient preferences accurately only two-thirds of the time.</w:t>
      </w:r>
      <w:r w:rsidRPr="00993785">
        <w:rPr>
          <w:rStyle w:val="FootnoteReference"/>
          <w:rFonts w:ascii="Garamond" w:eastAsia="Garamond" w:hAnsi="Garamond" w:cs="Garamond"/>
        </w:rPr>
        <w:footnoteReference w:id="24"/>
      </w:r>
      <w:r w:rsidRPr="00993785">
        <w:rPr>
          <w:rFonts w:ascii="Garamond" w:eastAsia="Garamond" w:hAnsi="Garamond" w:cs="Garamond"/>
        </w:rPr>
        <w:t xml:space="preserve"> If showing concern for a patient’s nonalienation i</w:t>
      </w:r>
      <w:r w:rsidRPr="00C4717A">
        <w:rPr>
          <w:rFonts w:ascii="Garamond" w:eastAsia="Garamond" w:hAnsi="Garamond" w:cs="Garamond"/>
        </w:rPr>
        <w:t xml:space="preserve">s tantamount to making decisions that line up with the ones </w:t>
      </w:r>
      <w:r w:rsidR="000C0332">
        <w:rPr>
          <w:rFonts w:ascii="Garamond" w:eastAsia="Garamond" w:hAnsi="Garamond" w:cs="Garamond"/>
        </w:rPr>
        <w:t>that</w:t>
      </w:r>
      <w:r w:rsidR="00F07ED9">
        <w:rPr>
          <w:rFonts w:ascii="Garamond" w:eastAsia="Garamond" w:hAnsi="Garamond" w:cs="Garamond"/>
        </w:rPr>
        <w:t xml:space="preserve"> </w:t>
      </w:r>
      <w:r w:rsidRPr="00C4717A">
        <w:rPr>
          <w:rFonts w:ascii="Garamond" w:eastAsia="Garamond" w:hAnsi="Garamond" w:cs="Garamond"/>
        </w:rPr>
        <w:t>they would have made, then surrogates are not especially good at showing this concern.</w:t>
      </w:r>
    </w:p>
    <w:p w14:paraId="248EA389" w14:textId="469771D6" w:rsidR="00C90902" w:rsidRPr="0080605C" w:rsidRDefault="00C90902" w:rsidP="00EA3155">
      <w:pPr>
        <w:spacing w:line="480" w:lineRule="auto"/>
        <w:ind w:firstLine="720"/>
        <w:jc w:val="both"/>
        <w:rPr>
          <w:rFonts w:ascii="Garamond" w:eastAsia="Times New Roman" w:hAnsi="Garamond" w:cs="Times New Roman"/>
        </w:rPr>
      </w:pPr>
      <w:r w:rsidRPr="005B1297">
        <w:rPr>
          <w:rFonts w:ascii="Garamond" w:eastAsia="Garamond" w:hAnsi="Garamond" w:cs="Garamond"/>
        </w:rPr>
        <w:t xml:space="preserve">But our claim that </w:t>
      </w:r>
      <w:r w:rsidR="00072335" w:rsidRPr="00A43FD1">
        <w:rPr>
          <w:rFonts w:ascii="Garamond" w:eastAsia="Garamond" w:hAnsi="Garamond" w:cs="Garamond"/>
        </w:rPr>
        <w:t xml:space="preserve">Fiona </w:t>
      </w:r>
      <w:r w:rsidRPr="00A43FD1">
        <w:rPr>
          <w:rFonts w:ascii="Garamond" w:eastAsia="Garamond" w:hAnsi="Garamond" w:cs="Garamond"/>
        </w:rPr>
        <w:t xml:space="preserve">may show concern for </w:t>
      </w:r>
      <w:r w:rsidR="00963870" w:rsidRPr="00A43FD1">
        <w:rPr>
          <w:rFonts w:ascii="Garamond" w:eastAsia="Garamond" w:hAnsi="Garamond" w:cs="Garamond"/>
        </w:rPr>
        <w:t xml:space="preserve">Francis’s </w:t>
      </w:r>
      <w:r w:rsidRPr="00A43FD1">
        <w:rPr>
          <w:rFonts w:ascii="Garamond" w:eastAsia="Garamond" w:hAnsi="Garamond" w:cs="Garamond"/>
        </w:rPr>
        <w:t xml:space="preserve">nonalienation by requesting </w:t>
      </w:r>
      <w:r w:rsidR="00843CB9" w:rsidRPr="001A26FE">
        <w:rPr>
          <w:rFonts w:ascii="Garamond" w:eastAsia="Garamond" w:hAnsi="Garamond" w:cs="Garamond"/>
        </w:rPr>
        <w:t>PAD</w:t>
      </w:r>
      <w:r w:rsidRPr="001A26FE">
        <w:rPr>
          <w:rFonts w:ascii="Garamond" w:eastAsia="Garamond" w:hAnsi="Garamond" w:cs="Garamond"/>
        </w:rPr>
        <w:t xml:space="preserve"> on his behalf did not rest on the supposition that she will make the same choice that </w:t>
      </w:r>
      <w:r w:rsidR="00963870" w:rsidRPr="002B5CD1">
        <w:rPr>
          <w:rFonts w:ascii="Garamond" w:eastAsia="Garamond" w:hAnsi="Garamond" w:cs="Garamond"/>
        </w:rPr>
        <w:t xml:space="preserve">Francis </w:t>
      </w:r>
      <w:r w:rsidRPr="002B5CD1">
        <w:rPr>
          <w:rFonts w:ascii="Garamond" w:eastAsia="Garamond" w:hAnsi="Garamond" w:cs="Garamond"/>
        </w:rPr>
        <w:t>would have</w:t>
      </w:r>
      <w:r w:rsidR="002372C6" w:rsidRPr="0080605C">
        <w:rPr>
          <w:rFonts w:ascii="Garamond" w:eastAsia="Garamond" w:hAnsi="Garamond" w:cs="Garamond"/>
        </w:rPr>
        <w:t xml:space="preserve"> made</w:t>
      </w:r>
      <w:r w:rsidRPr="0080605C">
        <w:rPr>
          <w:rFonts w:ascii="Garamond" w:eastAsia="Garamond" w:hAnsi="Garamond" w:cs="Garamond"/>
        </w:rPr>
        <w:t xml:space="preserve">. Our values and commitments often support multiple courses of action; the fact that surrogates </w:t>
      </w:r>
      <w:r w:rsidR="002372C6" w:rsidRPr="0080605C">
        <w:rPr>
          <w:rFonts w:ascii="Garamond" w:eastAsia="Garamond" w:hAnsi="Garamond" w:cs="Garamond"/>
        </w:rPr>
        <w:t xml:space="preserve">may </w:t>
      </w:r>
      <w:r w:rsidRPr="0080605C">
        <w:rPr>
          <w:rFonts w:ascii="Garamond" w:eastAsia="Garamond" w:hAnsi="Garamond" w:cs="Garamond"/>
        </w:rPr>
        <w:t xml:space="preserve">pick </w:t>
      </w:r>
      <w:r w:rsidR="002372C6" w:rsidRPr="0080605C">
        <w:rPr>
          <w:rFonts w:ascii="Garamond" w:eastAsia="Garamond" w:hAnsi="Garamond" w:cs="Garamond"/>
        </w:rPr>
        <w:t xml:space="preserve">a </w:t>
      </w:r>
      <w:r w:rsidRPr="0080605C">
        <w:rPr>
          <w:rFonts w:ascii="Garamond" w:eastAsia="Garamond" w:hAnsi="Garamond" w:cs="Garamond"/>
        </w:rPr>
        <w:t xml:space="preserve">different course than </w:t>
      </w:r>
      <w:r w:rsidR="002372C6" w:rsidRPr="0080605C">
        <w:rPr>
          <w:rFonts w:ascii="Garamond" w:eastAsia="Garamond" w:hAnsi="Garamond" w:cs="Garamond"/>
        </w:rPr>
        <w:t xml:space="preserve">the </w:t>
      </w:r>
      <w:r w:rsidRPr="0080605C">
        <w:rPr>
          <w:rFonts w:ascii="Garamond" w:eastAsia="Garamond" w:hAnsi="Garamond" w:cs="Garamond"/>
        </w:rPr>
        <w:t>patien</w:t>
      </w:r>
      <w:r w:rsidR="002372C6" w:rsidRPr="0080605C">
        <w:rPr>
          <w:rFonts w:ascii="Garamond" w:eastAsia="Garamond" w:hAnsi="Garamond" w:cs="Garamond"/>
        </w:rPr>
        <w:t>t would have</w:t>
      </w:r>
      <w:r w:rsidRPr="0080605C">
        <w:rPr>
          <w:rFonts w:ascii="Garamond" w:eastAsia="Garamond" w:hAnsi="Garamond" w:cs="Garamond"/>
        </w:rPr>
        <w:t xml:space="preserve"> is not itself evidence that they have acted against those patients’ values and commitments. Instead, our claim rests on the more minimal supposition that </w:t>
      </w:r>
      <w:r w:rsidR="00072335" w:rsidRPr="0080605C">
        <w:rPr>
          <w:rFonts w:ascii="Garamond" w:eastAsia="Garamond" w:hAnsi="Garamond" w:cs="Garamond"/>
        </w:rPr>
        <w:t xml:space="preserve">Fiona’s </w:t>
      </w:r>
      <w:r w:rsidR="009F7264" w:rsidRPr="0080605C">
        <w:rPr>
          <w:rFonts w:ascii="Garamond" w:eastAsia="Garamond" w:hAnsi="Garamond" w:cs="Garamond"/>
        </w:rPr>
        <w:t xml:space="preserve">close relationship with </w:t>
      </w:r>
      <w:r w:rsidR="00963870" w:rsidRPr="0080605C">
        <w:rPr>
          <w:rFonts w:ascii="Garamond" w:eastAsia="Garamond" w:hAnsi="Garamond" w:cs="Garamond"/>
        </w:rPr>
        <w:t xml:space="preserve">Francis </w:t>
      </w:r>
      <w:r w:rsidR="009F7264" w:rsidRPr="0080605C">
        <w:rPr>
          <w:rFonts w:ascii="Garamond" w:eastAsia="Garamond" w:hAnsi="Garamond" w:cs="Garamond"/>
        </w:rPr>
        <w:t>puts her in</w:t>
      </w:r>
      <w:r w:rsidRPr="0080605C">
        <w:rPr>
          <w:rFonts w:ascii="Garamond" w:eastAsia="Garamond" w:hAnsi="Garamond" w:cs="Garamond"/>
        </w:rPr>
        <w:t xml:space="preserve"> a unique position to know and take seriously </w:t>
      </w:r>
      <w:r w:rsidR="009F7264" w:rsidRPr="0080605C">
        <w:rPr>
          <w:rFonts w:ascii="Garamond" w:eastAsia="Garamond" w:hAnsi="Garamond" w:cs="Garamond"/>
        </w:rPr>
        <w:t>his</w:t>
      </w:r>
      <w:r w:rsidRPr="0080605C">
        <w:rPr>
          <w:rFonts w:ascii="Garamond" w:eastAsia="Garamond" w:hAnsi="Garamond" w:cs="Garamond"/>
        </w:rPr>
        <w:t xml:space="preserve"> values and commitments. </w:t>
      </w:r>
      <w:r w:rsidR="002372C6" w:rsidRPr="0080605C">
        <w:rPr>
          <w:rFonts w:ascii="Garamond" w:eastAsia="Garamond" w:hAnsi="Garamond" w:cs="Garamond"/>
        </w:rPr>
        <w:t xml:space="preserve">So long </w:t>
      </w:r>
      <w:r w:rsidRPr="0080605C">
        <w:rPr>
          <w:rFonts w:ascii="Garamond" w:eastAsia="Garamond" w:hAnsi="Garamond" w:cs="Garamond"/>
        </w:rPr>
        <w:t xml:space="preserve">as she is guided by this knowledge and care, her decision will show concern for his nonalienation. </w:t>
      </w:r>
    </w:p>
    <w:p w14:paraId="0F247B2A" w14:textId="02AF4DB2" w:rsidR="00C90902" w:rsidRPr="0080605C" w:rsidRDefault="00C90902" w:rsidP="00EA3155">
      <w:pPr>
        <w:spacing w:line="480" w:lineRule="auto"/>
        <w:ind w:firstLine="720"/>
        <w:jc w:val="both"/>
        <w:rPr>
          <w:rFonts w:ascii="Garamond" w:eastAsia="Garamond" w:hAnsi="Garamond" w:cs="Garamond"/>
        </w:rPr>
      </w:pPr>
      <w:r w:rsidRPr="0080605C">
        <w:rPr>
          <w:rFonts w:ascii="Garamond" w:eastAsia="Garamond" w:hAnsi="Garamond" w:cs="Garamond"/>
        </w:rPr>
        <w:t xml:space="preserve">To be sure, we have assumed altruistic motives on </w:t>
      </w:r>
      <w:r w:rsidR="00072335" w:rsidRPr="0080605C">
        <w:rPr>
          <w:rFonts w:ascii="Garamond" w:eastAsia="Garamond" w:hAnsi="Garamond" w:cs="Garamond"/>
        </w:rPr>
        <w:t xml:space="preserve">Fiona’s </w:t>
      </w:r>
      <w:r w:rsidRPr="0080605C">
        <w:rPr>
          <w:rFonts w:ascii="Garamond" w:eastAsia="Garamond" w:hAnsi="Garamond" w:cs="Garamond"/>
        </w:rPr>
        <w:t xml:space="preserve">behalf in our discussion thus far. Perhaps this is overly optimistic. Maybe we should instead </w:t>
      </w:r>
      <w:r w:rsidR="00C26B5C" w:rsidRPr="0080605C">
        <w:rPr>
          <w:rFonts w:ascii="Garamond" w:eastAsia="Garamond" w:hAnsi="Garamond" w:cs="Garamond"/>
        </w:rPr>
        <w:t>worry</w:t>
      </w:r>
      <w:r w:rsidRPr="0080605C">
        <w:rPr>
          <w:rFonts w:ascii="Garamond" w:eastAsia="Garamond" w:hAnsi="Garamond" w:cs="Garamond"/>
        </w:rPr>
        <w:t xml:space="preserve"> that </w:t>
      </w:r>
      <w:r w:rsidR="00C26B5C" w:rsidRPr="0080605C">
        <w:rPr>
          <w:rFonts w:ascii="Garamond" w:eastAsia="Garamond" w:hAnsi="Garamond" w:cs="Garamond"/>
        </w:rPr>
        <w:t>patient</w:t>
      </w:r>
      <w:r w:rsidR="0012736B" w:rsidRPr="0080605C">
        <w:rPr>
          <w:rFonts w:ascii="Garamond" w:eastAsia="Garamond" w:hAnsi="Garamond" w:cs="Garamond"/>
        </w:rPr>
        <w:t>-</w:t>
      </w:r>
      <w:r w:rsidR="00C26B5C" w:rsidRPr="0080605C">
        <w:rPr>
          <w:rFonts w:ascii="Garamond" w:eastAsia="Garamond" w:hAnsi="Garamond" w:cs="Garamond"/>
        </w:rPr>
        <w:t>appointed, familiar</w:t>
      </w:r>
      <w:r w:rsidRPr="0080605C">
        <w:rPr>
          <w:rFonts w:ascii="Garamond" w:eastAsia="Garamond" w:hAnsi="Garamond" w:cs="Garamond"/>
        </w:rPr>
        <w:t xml:space="preserve"> surrogates will often </w:t>
      </w:r>
      <w:r w:rsidR="00657628" w:rsidRPr="0080605C">
        <w:rPr>
          <w:rFonts w:ascii="Garamond" w:eastAsia="Garamond" w:hAnsi="Garamond" w:cs="Garamond"/>
        </w:rPr>
        <w:t>request</w:t>
      </w:r>
      <w:r w:rsidRPr="0080605C">
        <w:rPr>
          <w:rFonts w:ascii="Garamond" w:eastAsia="Garamond" w:hAnsi="Garamond" w:cs="Garamond"/>
        </w:rPr>
        <w:t xml:space="preserve"> </w:t>
      </w:r>
      <w:r w:rsidR="00E5713C" w:rsidRPr="0080605C">
        <w:rPr>
          <w:rFonts w:ascii="Garamond" w:eastAsia="Garamond" w:hAnsi="Garamond" w:cs="Garamond"/>
        </w:rPr>
        <w:t>PAD for terminally ill, incapacitated</w:t>
      </w:r>
      <w:r w:rsidR="00657628" w:rsidRPr="0080605C">
        <w:rPr>
          <w:rFonts w:ascii="Garamond" w:eastAsia="Garamond" w:hAnsi="Garamond" w:cs="Garamond"/>
        </w:rPr>
        <w:t xml:space="preserve"> patients</w:t>
      </w:r>
      <w:r w:rsidRPr="0080605C">
        <w:rPr>
          <w:rFonts w:ascii="Garamond" w:eastAsia="Garamond" w:hAnsi="Garamond" w:cs="Garamond"/>
        </w:rPr>
        <w:t xml:space="preserve"> out of self-interest, </w:t>
      </w:r>
      <w:r w:rsidR="009F7264" w:rsidRPr="0080605C">
        <w:rPr>
          <w:rFonts w:ascii="Garamond" w:eastAsia="Garamond" w:hAnsi="Garamond" w:cs="Garamond"/>
        </w:rPr>
        <w:t>rather than</w:t>
      </w:r>
      <w:r w:rsidRPr="0080605C">
        <w:rPr>
          <w:rFonts w:ascii="Garamond" w:eastAsia="Garamond" w:hAnsi="Garamond" w:cs="Garamond"/>
        </w:rPr>
        <w:t xml:space="preserve"> concern for the patient’s nonalienation. </w:t>
      </w:r>
      <w:r w:rsidR="00072335" w:rsidRPr="0080605C">
        <w:rPr>
          <w:rFonts w:ascii="Garamond" w:eastAsia="Garamond" w:hAnsi="Garamond" w:cs="Garamond"/>
        </w:rPr>
        <w:t xml:space="preserve">Fiona </w:t>
      </w:r>
      <w:r w:rsidRPr="0080605C">
        <w:rPr>
          <w:rFonts w:ascii="Garamond" w:eastAsia="Garamond" w:hAnsi="Garamond" w:cs="Garamond"/>
        </w:rPr>
        <w:t xml:space="preserve">might, for instance, request </w:t>
      </w:r>
      <w:r w:rsidR="00843CB9" w:rsidRPr="0080605C">
        <w:rPr>
          <w:rFonts w:ascii="Garamond" w:eastAsia="Garamond" w:hAnsi="Garamond" w:cs="Garamond"/>
        </w:rPr>
        <w:t>PAD</w:t>
      </w:r>
      <w:r w:rsidRPr="0080605C">
        <w:rPr>
          <w:rFonts w:ascii="Garamond" w:eastAsia="Garamond" w:hAnsi="Garamond" w:cs="Garamond"/>
        </w:rPr>
        <w:t xml:space="preserve"> because she feels emotionally and physically overwhelmed by </w:t>
      </w:r>
      <w:r w:rsidR="00963870" w:rsidRPr="0080605C">
        <w:rPr>
          <w:rFonts w:ascii="Garamond" w:eastAsia="Garamond" w:hAnsi="Garamond" w:cs="Garamond"/>
        </w:rPr>
        <w:t xml:space="preserve">Francis’s </w:t>
      </w:r>
      <w:r w:rsidRPr="0080605C">
        <w:rPr>
          <w:rFonts w:ascii="Garamond" w:eastAsia="Garamond" w:hAnsi="Garamond" w:cs="Garamond"/>
        </w:rPr>
        <w:t xml:space="preserve">care. But this objection wrongly assumes that the self-interest of </w:t>
      </w:r>
      <w:r w:rsidR="00C26B5C" w:rsidRPr="0080605C">
        <w:rPr>
          <w:rFonts w:ascii="Garamond" w:eastAsia="Garamond" w:hAnsi="Garamond" w:cs="Garamond"/>
        </w:rPr>
        <w:t>patient</w:t>
      </w:r>
      <w:r w:rsidR="0012736B" w:rsidRPr="0080605C">
        <w:rPr>
          <w:rFonts w:ascii="Garamond" w:eastAsia="Garamond" w:hAnsi="Garamond" w:cs="Garamond"/>
        </w:rPr>
        <w:t>-</w:t>
      </w:r>
      <w:r w:rsidR="00C26B5C" w:rsidRPr="0080605C">
        <w:rPr>
          <w:rFonts w:ascii="Garamond" w:eastAsia="Garamond" w:hAnsi="Garamond" w:cs="Garamond"/>
        </w:rPr>
        <w:t>appointed, familiar</w:t>
      </w:r>
      <w:r w:rsidRPr="0080605C">
        <w:rPr>
          <w:rFonts w:ascii="Garamond" w:eastAsia="Garamond" w:hAnsi="Garamond" w:cs="Garamond"/>
        </w:rPr>
        <w:t xml:space="preserve"> surrogate</w:t>
      </w:r>
      <w:r w:rsidR="009A7F5F" w:rsidRPr="0080605C">
        <w:rPr>
          <w:rFonts w:ascii="Garamond" w:eastAsia="Garamond" w:hAnsi="Garamond" w:cs="Garamond"/>
        </w:rPr>
        <w:t xml:space="preserve"> decision</w:t>
      </w:r>
      <w:r w:rsidR="00F07ED9">
        <w:rPr>
          <w:rFonts w:ascii="Garamond" w:eastAsia="Garamond" w:hAnsi="Garamond" w:cs="Garamond"/>
        </w:rPr>
        <w:t xml:space="preserve"> </w:t>
      </w:r>
      <w:r w:rsidR="009A7F5F" w:rsidRPr="0080605C">
        <w:rPr>
          <w:rFonts w:ascii="Garamond" w:eastAsia="Garamond" w:hAnsi="Garamond" w:cs="Garamond"/>
        </w:rPr>
        <w:t>maker</w:t>
      </w:r>
      <w:r w:rsidRPr="0080605C">
        <w:rPr>
          <w:rFonts w:ascii="Garamond" w:eastAsia="Garamond" w:hAnsi="Garamond" w:cs="Garamond"/>
        </w:rPr>
        <w:t xml:space="preserve">s conflicts with the nonalienation of patients. </w:t>
      </w:r>
      <w:r w:rsidR="002372C6" w:rsidRPr="0080605C">
        <w:rPr>
          <w:rFonts w:ascii="Garamond" w:eastAsia="Garamond" w:hAnsi="Garamond" w:cs="Garamond"/>
        </w:rPr>
        <w:t>Instead, we think that</w:t>
      </w:r>
      <w:r w:rsidRPr="0080605C">
        <w:rPr>
          <w:rFonts w:ascii="Garamond" w:eastAsia="Garamond" w:hAnsi="Garamond" w:cs="Garamond"/>
        </w:rPr>
        <w:t xml:space="preserve">, given </w:t>
      </w:r>
      <w:r w:rsidR="009A7F5F" w:rsidRPr="0080605C">
        <w:rPr>
          <w:rFonts w:ascii="Garamond" w:eastAsia="Garamond" w:hAnsi="Garamond" w:cs="Garamond"/>
        </w:rPr>
        <w:t>their close relationship</w:t>
      </w:r>
      <w:r w:rsidRPr="0080605C">
        <w:rPr>
          <w:rFonts w:ascii="Garamond" w:eastAsia="Garamond" w:hAnsi="Garamond" w:cs="Garamond"/>
        </w:rPr>
        <w:t xml:space="preserve">, </w:t>
      </w:r>
      <w:r w:rsidR="00072335" w:rsidRPr="0080605C">
        <w:rPr>
          <w:rFonts w:ascii="Garamond" w:eastAsia="Garamond" w:hAnsi="Garamond" w:cs="Garamond"/>
        </w:rPr>
        <w:t xml:space="preserve">Fiona’s </w:t>
      </w:r>
      <w:r w:rsidRPr="0080605C">
        <w:rPr>
          <w:rFonts w:ascii="Garamond" w:eastAsia="Garamond" w:hAnsi="Garamond" w:cs="Garamond"/>
        </w:rPr>
        <w:t xml:space="preserve">well-being is </w:t>
      </w:r>
      <w:r w:rsidR="002372C6" w:rsidRPr="0080605C">
        <w:rPr>
          <w:rFonts w:ascii="Garamond" w:eastAsia="Garamond" w:hAnsi="Garamond" w:cs="Garamond"/>
        </w:rPr>
        <w:lastRenderedPageBreak/>
        <w:t xml:space="preserve">likely </w:t>
      </w:r>
      <w:r w:rsidRPr="0080605C">
        <w:rPr>
          <w:rFonts w:ascii="Garamond" w:eastAsia="Garamond" w:hAnsi="Garamond" w:cs="Garamond"/>
        </w:rPr>
        <w:t xml:space="preserve">something that </w:t>
      </w:r>
      <w:r w:rsidR="009A7F5F" w:rsidRPr="0080605C">
        <w:rPr>
          <w:rFonts w:ascii="Garamond" w:eastAsia="Garamond" w:hAnsi="Garamond" w:cs="Garamond"/>
        </w:rPr>
        <w:t>Franc</w:t>
      </w:r>
      <w:r w:rsidR="00F07ED9">
        <w:rPr>
          <w:rFonts w:ascii="Garamond" w:eastAsia="Garamond" w:hAnsi="Garamond" w:cs="Garamond"/>
        </w:rPr>
        <w:t>i</w:t>
      </w:r>
      <w:r w:rsidR="009A7F5F" w:rsidRPr="0080605C">
        <w:rPr>
          <w:rFonts w:ascii="Garamond" w:eastAsia="Garamond" w:hAnsi="Garamond" w:cs="Garamond"/>
        </w:rPr>
        <w:t>s</w:t>
      </w:r>
      <w:r w:rsidRPr="0080605C">
        <w:rPr>
          <w:rFonts w:ascii="Garamond" w:eastAsia="Garamond" w:hAnsi="Garamond" w:cs="Garamond"/>
        </w:rPr>
        <w:t xml:space="preserve"> deeply values. By </w:t>
      </w:r>
      <w:r w:rsidR="002372C6" w:rsidRPr="0080605C">
        <w:rPr>
          <w:rFonts w:ascii="Garamond" w:eastAsia="Garamond" w:hAnsi="Garamond" w:cs="Garamond"/>
        </w:rPr>
        <w:t>considering her own interests</w:t>
      </w:r>
      <w:r w:rsidRPr="0080605C">
        <w:rPr>
          <w:rFonts w:ascii="Garamond" w:eastAsia="Garamond" w:hAnsi="Garamond" w:cs="Garamond"/>
        </w:rPr>
        <w:t xml:space="preserve">, </w:t>
      </w:r>
      <w:r w:rsidR="00072335" w:rsidRPr="0080605C">
        <w:rPr>
          <w:rFonts w:ascii="Garamond" w:eastAsia="Garamond" w:hAnsi="Garamond" w:cs="Garamond"/>
        </w:rPr>
        <w:t xml:space="preserve">Fiona </w:t>
      </w:r>
      <w:r w:rsidRPr="0080605C">
        <w:rPr>
          <w:rFonts w:ascii="Garamond" w:eastAsia="Garamond" w:hAnsi="Garamond" w:cs="Garamond"/>
        </w:rPr>
        <w:t xml:space="preserve">can still </w:t>
      </w:r>
      <w:r w:rsidR="002372C6" w:rsidRPr="0080605C">
        <w:rPr>
          <w:rFonts w:ascii="Garamond" w:eastAsia="Garamond" w:hAnsi="Garamond" w:cs="Garamond"/>
        </w:rPr>
        <w:t>show</w:t>
      </w:r>
      <w:r w:rsidRPr="0080605C">
        <w:rPr>
          <w:rFonts w:ascii="Garamond" w:eastAsia="Garamond" w:hAnsi="Garamond" w:cs="Garamond"/>
        </w:rPr>
        <w:t xml:space="preserve"> concern for </w:t>
      </w:r>
      <w:r w:rsidR="00963870" w:rsidRPr="0080605C">
        <w:rPr>
          <w:rFonts w:ascii="Garamond" w:eastAsia="Garamond" w:hAnsi="Garamond" w:cs="Garamond"/>
        </w:rPr>
        <w:t xml:space="preserve">Francis’s </w:t>
      </w:r>
      <w:r w:rsidRPr="0080605C">
        <w:rPr>
          <w:rFonts w:ascii="Garamond" w:eastAsia="Garamond" w:hAnsi="Garamond" w:cs="Garamond"/>
        </w:rPr>
        <w:t>nonalienation. </w:t>
      </w:r>
    </w:p>
    <w:p w14:paraId="0595BD2C" w14:textId="4A78B320" w:rsidR="00C90902" w:rsidRPr="0080605C" w:rsidRDefault="00C90902" w:rsidP="00EA3155">
      <w:pPr>
        <w:spacing w:line="480" w:lineRule="auto"/>
        <w:jc w:val="both"/>
        <w:rPr>
          <w:rFonts w:ascii="Garamond" w:eastAsia="Garamond" w:hAnsi="Garamond" w:cs="Garamond"/>
        </w:rPr>
      </w:pPr>
      <w:r w:rsidRPr="0080605C">
        <w:rPr>
          <w:rFonts w:ascii="Garamond" w:eastAsia="Garamond" w:hAnsi="Garamond" w:cs="Garamond"/>
        </w:rPr>
        <w:tab/>
        <w:t xml:space="preserve">Still, we might worry that surrogates </w:t>
      </w:r>
      <w:r w:rsidRPr="005B1297">
        <w:rPr>
          <w:rFonts w:ascii="Garamond" w:eastAsia="Garamond" w:hAnsi="Garamond" w:cs="Garamond"/>
        </w:rPr>
        <w:t xml:space="preserve">may abuse </w:t>
      </w:r>
      <w:r w:rsidR="00C26B5C" w:rsidRPr="005B1297">
        <w:rPr>
          <w:rFonts w:ascii="Garamond" w:eastAsia="Garamond" w:hAnsi="Garamond" w:cs="Garamond"/>
        </w:rPr>
        <w:t>this practice</w:t>
      </w:r>
      <w:r w:rsidRPr="005B1297">
        <w:rPr>
          <w:rFonts w:ascii="Garamond" w:eastAsia="Garamond" w:hAnsi="Garamond" w:cs="Garamond"/>
        </w:rPr>
        <w:t xml:space="preserve"> by acting in ways that are directly opposed to the patient’s preferences and values. </w:t>
      </w:r>
      <w:r w:rsidR="009A7F5F" w:rsidRPr="005B1297">
        <w:rPr>
          <w:rFonts w:ascii="Garamond" w:eastAsia="Garamond" w:hAnsi="Garamond" w:cs="Garamond"/>
        </w:rPr>
        <w:t>Suppose</w:t>
      </w:r>
      <w:r w:rsidRPr="005B1297">
        <w:rPr>
          <w:rFonts w:ascii="Garamond" w:eastAsia="Garamond" w:hAnsi="Garamond" w:cs="Garamond"/>
        </w:rPr>
        <w:t xml:space="preserve"> </w:t>
      </w:r>
      <w:r w:rsidR="00072335" w:rsidRPr="00A43FD1">
        <w:rPr>
          <w:rFonts w:ascii="Garamond" w:eastAsia="Garamond" w:hAnsi="Garamond" w:cs="Garamond"/>
        </w:rPr>
        <w:t xml:space="preserve">Fiona </w:t>
      </w:r>
      <w:r w:rsidRPr="00A43FD1">
        <w:rPr>
          <w:rFonts w:ascii="Garamond" w:eastAsia="Garamond" w:hAnsi="Garamond" w:cs="Garamond"/>
        </w:rPr>
        <w:t xml:space="preserve">requests </w:t>
      </w:r>
      <w:r w:rsidR="00843CB9" w:rsidRPr="00A43FD1">
        <w:rPr>
          <w:rFonts w:ascii="Garamond" w:eastAsia="Garamond" w:hAnsi="Garamond" w:cs="Garamond"/>
        </w:rPr>
        <w:t>PAD</w:t>
      </w:r>
      <w:r w:rsidRPr="00A43FD1">
        <w:rPr>
          <w:rFonts w:ascii="Garamond" w:eastAsia="Garamond" w:hAnsi="Garamond" w:cs="Garamond"/>
        </w:rPr>
        <w:t xml:space="preserve"> for </w:t>
      </w:r>
      <w:r w:rsidR="00963870" w:rsidRPr="001A26FE">
        <w:rPr>
          <w:rFonts w:ascii="Garamond" w:eastAsia="Garamond" w:hAnsi="Garamond" w:cs="Garamond"/>
        </w:rPr>
        <w:t xml:space="preserve">Francis </w:t>
      </w:r>
      <w:r w:rsidR="009F7264" w:rsidRPr="001A26FE">
        <w:rPr>
          <w:rFonts w:ascii="Garamond" w:eastAsia="Garamond" w:hAnsi="Garamond" w:cs="Garamond"/>
        </w:rPr>
        <w:t>simply</w:t>
      </w:r>
      <w:r w:rsidRPr="002B5CD1">
        <w:rPr>
          <w:rFonts w:ascii="Garamond" w:eastAsia="Garamond" w:hAnsi="Garamond" w:cs="Garamond"/>
        </w:rPr>
        <w:t xml:space="preserve"> because she wants to collect </w:t>
      </w:r>
      <w:r w:rsidR="00C26B5C" w:rsidRPr="0080605C">
        <w:rPr>
          <w:rFonts w:ascii="Garamond" w:eastAsia="Garamond" w:hAnsi="Garamond" w:cs="Garamond"/>
        </w:rPr>
        <w:t>her</w:t>
      </w:r>
      <w:r w:rsidRPr="0080605C">
        <w:rPr>
          <w:rFonts w:ascii="Garamond" w:eastAsia="Garamond" w:hAnsi="Garamond" w:cs="Garamond"/>
        </w:rPr>
        <w:t xml:space="preserve"> inheritance and move to Reno with her lover. In this case, doctors would not be showing respect for </w:t>
      </w:r>
      <w:r w:rsidR="00963870" w:rsidRPr="0080605C">
        <w:rPr>
          <w:rFonts w:ascii="Garamond" w:eastAsia="Garamond" w:hAnsi="Garamond" w:cs="Garamond"/>
        </w:rPr>
        <w:t xml:space="preserve">Francis’s </w:t>
      </w:r>
      <w:r w:rsidRPr="0080605C">
        <w:rPr>
          <w:rFonts w:ascii="Garamond" w:eastAsia="Garamond" w:hAnsi="Garamond" w:cs="Garamond"/>
        </w:rPr>
        <w:t xml:space="preserve">nonalienation by respecting </w:t>
      </w:r>
      <w:r w:rsidR="009A7F5F" w:rsidRPr="0080605C">
        <w:rPr>
          <w:rFonts w:ascii="Garamond" w:eastAsia="Garamond" w:hAnsi="Garamond" w:cs="Garamond"/>
        </w:rPr>
        <w:t>her</w:t>
      </w:r>
      <w:r w:rsidR="00072335" w:rsidRPr="0080605C">
        <w:rPr>
          <w:rFonts w:ascii="Garamond" w:eastAsia="Garamond" w:hAnsi="Garamond" w:cs="Garamond"/>
        </w:rPr>
        <w:t xml:space="preserve"> </w:t>
      </w:r>
      <w:r w:rsidRPr="0080605C">
        <w:rPr>
          <w:rFonts w:ascii="Garamond" w:eastAsia="Garamond" w:hAnsi="Garamond" w:cs="Garamond"/>
        </w:rPr>
        <w:t>wishes—</w:t>
      </w:r>
      <w:r w:rsidR="009A7F5F" w:rsidRPr="0080605C">
        <w:rPr>
          <w:rFonts w:ascii="Garamond" w:eastAsia="Garamond" w:hAnsi="Garamond" w:cs="Garamond"/>
        </w:rPr>
        <w:t>Franc</w:t>
      </w:r>
      <w:r w:rsidR="00F07ED9">
        <w:rPr>
          <w:rFonts w:ascii="Garamond" w:eastAsia="Garamond" w:hAnsi="Garamond" w:cs="Garamond"/>
        </w:rPr>
        <w:t>i</w:t>
      </w:r>
      <w:r w:rsidR="009A7F5F" w:rsidRPr="0080605C">
        <w:rPr>
          <w:rFonts w:ascii="Garamond" w:eastAsia="Garamond" w:hAnsi="Garamond" w:cs="Garamond"/>
        </w:rPr>
        <w:t>s’s</w:t>
      </w:r>
      <w:r w:rsidRPr="0080605C">
        <w:rPr>
          <w:rFonts w:ascii="Garamond" w:eastAsia="Garamond" w:hAnsi="Garamond" w:cs="Garamond"/>
        </w:rPr>
        <w:t xml:space="preserve"> deepest values and commitments </w:t>
      </w:r>
      <w:r w:rsidR="0040055E" w:rsidRPr="0080605C">
        <w:rPr>
          <w:rFonts w:ascii="Garamond" w:eastAsia="Garamond" w:hAnsi="Garamond" w:cs="Garamond"/>
        </w:rPr>
        <w:t xml:space="preserve">presumably </w:t>
      </w:r>
      <w:r w:rsidR="00AA375F" w:rsidRPr="0080605C">
        <w:rPr>
          <w:rFonts w:ascii="Garamond" w:eastAsia="Garamond" w:hAnsi="Garamond" w:cs="Garamond"/>
        </w:rPr>
        <w:t>do not</w:t>
      </w:r>
      <w:r w:rsidRPr="0080605C">
        <w:rPr>
          <w:rFonts w:ascii="Garamond" w:eastAsia="Garamond" w:hAnsi="Garamond" w:cs="Garamond"/>
        </w:rPr>
        <w:t xml:space="preserve"> involve having his life cut short in the service of his wife’s affair. Nor </w:t>
      </w:r>
      <w:r w:rsidR="0040055E" w:rsidRPr="0080605C">
        <w:rPr>
          <w:rFonts w:ascii="Garamond" w:eastAsia="Garamond" w:hAnsi="Garamond" w:cs="Garamond"/>
        </w:rPr>
        <w:t>would</w:t>
      </w:r>
      <w:r w:rsidRPr="0080605C">
        <w:rPr>
          <w:rFonts w:ascii="Garamond" w:eastAsia="Garamond" w:hAnsi="Garamond" w:cs="Garamond"/>
        </w:rPr>
        <w:t xml:space="preserve"> respecting </w:t>
      </w:r>
      <w:r w:rsidR="00072335" w:rsidRPr="0080605C">
        <w:rPr>
          <w:rFonts w:ascii="Garamond" w:eastAsia="Garamond" w:hAnsi="Garamond" w:cs="Garamond"/>
        </w:rPr>
        <w:t xml:space="preserve">Fiona’s </w:t>
      </w:r>
      <w:r w:rsidRPr="0080605C">
        <w:rPr>
          <w:rFonts w:ascii="Garamond" w:eastAsia="Garamond" w:hAnsi="Garamond" w:cs="Garamond"/>
        </w:rPr>
        <w:t xml:space="preserve">wishes </w:t>
      </w:r>
      <w:r w:rsidR="002372C6" w:rsidRPr="0080605C">
        <w:rPr>
          <w:rFonts w:ascii="Garamond" w:eastAsia="Garamond" w:hAnsi="Garamond" w:cs="Garamond"/>
        </w:rPr>
        <w:t>show</w:t>
      </w:r>
      <w:r w:rsidRPr="0080605C">
        <w:rPr>
          <w:rFonts w:ascii="Garamond" w:eastAsia="Garamond" w:hAnsi="Garamond" w:cs="Garamond"/>
        </w:rPr>
        <w:t xml:space="preserve"> concern for </w:t>
      </w:r>
      <w:r w:rsidR="00963870" w:rsidRPr="0080605C">
        <w:rPr>
          <w:rFonts w:ascii="Garamond" w:eastAsia="Garamond" w:hAnsi="Garamond" w:cs="Garamond"/>
        </w:rPr>
        <w:t xml:space="preserve">Francis’s </w:t>
      </w:r>
      <w:r w:rsidRPr="0080605C">
        <w:rPr>
          <w:rFonts w:ascii="Garamond" w:eastAsia="Garamond" w:hAnsi="Garamond" w:cs="Garamond"/>
        </w:rPr>
        <w:t>sovereignty</w:t>
      </w:r>
      <w:r w:rsidR="00C26B5C" w:rsidRPr="0080605C">
        <w:rPr>
          <w:rFonts w:ascii="Garamond" w:eastAsia="Garamond" w:hAnsi="Garamond" w:cs="Garamond"/>
        </w:rPr>
        <w:t>, as</w:t>
      </w:r>
      <w:r w:rsidR="00204C6A" w:rsidRPr="0080605C">
        <w:rPr>
          <w:rFonts w:ascii="Garamond" w:eastAsia="Garamond" w:hAnsi="Garamond" w:cs="Garamond"/>
        </w:rPr>
        <w:t xml:space="preserve"> </w:t>
      </w:r>
      <w:r w:rsidR="00C26B5C" w:rsidRPr="0080605C">
        <w:rPr>
          <w:rFonts w:ascii="Garamond" w:eastAsia="Garamond" w:hAnsi="Garamond" w:cs="Garamond"/>
        </w:rPr>
        <w:t>h</w:t>
      </w:r>
      <w:r w:rsidRPr="0080605C">
        <w:rPr>
          <w:rFonts w:ascii="Garamond" w:eastAsia="Garamond" w:hAnsi="Garamond" w:cs="Garamond"/>
        </w:rPr>
        <w:t>is decision to appoint her</w:t>
      </w:r>
      <w:r w:rsidR="00C26B5C" w:rsidRPr="0080605C">
        <w:rPr>
          <w:rFonts w:ascii="Garamond" w:eastAsia="Garamond" w:hAnsi="Garamond" w:cs="Garamond"/>
        </w:rPr>
        <w:t xml:space="preserve"> </w:t>
      </w:r>
      <w:r w:rsidRPr="0080605C">
        <w:rPr>
          <w:rFonts w:ascii="Garamond" w:eastAsia="Garamond" w:hAnsi="Garamond" w:cs="Garamond"/>
        </w:rPr>
        <w:t xml:space="preserve">was made under grossly false pretenses. </w:t>
      </w:r>
    </w:p>
    <w:p w14:paraId="768B24FC" w14:textId="1DBFA46C" w:rsidR="002F58F9" w:rsidRPr="0080605C" w:rsidRDefault="002F58F9" w:rsidP="00EA3155">
      <w:pPr>
        <w:spacing w:line="480" w:lineRule="auto"/>
        <w:jc w:val="both"/>
        <w:rPr>
          <w:rFonts w:ascii="Garamond" w:eastAsia="Garamond" w:hAnsi="Garamond" w:cs="Garamond"/>
        </w:rPr>
      </w:pPr>
      <w:r w:rsidRPr="0080605C">
        <w:rPr>
          <w:rFonts w:ascii="Garamond" w:eastAsia="Garamond" w:hAnsi="Garamond" w:cs="Garamond"/>
        </w:rPr>
        <w:tab/>
        <w:t xml:space="preserve">Relatedly, we might also have a variation of the expressivist worry raised previously towards patient-PAD. </w:t>
      </w:r>
      <w:r w:rsidR="00B84867" w:rsidRPr="0080605C">
        <w:rPr>
          <w:rFonts w:ascii="Garamond" w:eastAsia="Garamond" w:hAnsi="Garamond" w:cs="Garamond"/>
        </w:rPr>
        <w:t xml:space="preserve">We might think, for instance, that allowing surrogates a right to make this sort of decision on behalf of patients expresses disrespect for the value of those patients’ lives.  </w:t>
      </w:r>
      <w:r w:rsidRPr="0080605C">
        <w:rPr>
          <w:rFonts w:ascii="Garamond" w:eastAsia="Garamond" w:hAnsi="Garamond" w:cs="Garamond"/>
        </w:rPr>
        <w:t xml:space="preserve"> </w:t>
      </w:r>
    </w:p>
    <w:p w14:paraId="5C86FC53" w14:textId="137CA161" w:rsidR="00C90902" w:rsidRPr="0080605C" w:rsidRDefault="00B84867" w:rsidP="00EA3155">
      <w:pPr>
        <w:spacing w:line="480" w:lineRule="auto"/>
        <w:ind w:firstLine="720"/>
        <w:jc w:val="both"/>
        <w:rPr>
          <w:rFonts w:ascii="Garamond" w:eastAsia="Garamond" w:hAnsi="Garamond" w:cs="Garamond"/>
        </w:rPr>
      </w:pPr>
      <w:r w:rsidRPr="0080605C">
        <w:rPr>
          <w:rFonts w:ascii="Garamond" w:eastAsia="Garamond" w:hAnsi="Garamond" w:cs="Garamond"/>
        </w:rPr>
        <w:t>We</w:t>
      </w:r>
      <w:r w:rsidR="00F07ED9">
        <w:rPr>
          <w:rFonts w:ascii="Garamond" w:eastAsia="Garamond" w:hAnsi="Garamond" w:cs="Garamond"/>
        </w:rPr>
        <w:t xml:space="preserve"> wi</w:t>
      </w:r>
      <w:r w:rsidRPr="0080605C">
        <w:rPr>
          <w:rFonts w:ascii="Garamond" w:eastAsia="Garamond" w:hAnsi="Garamond" w:cs="Garamond"/>
        </w:rPr>
        <w:t xml:space="preserve">ll </w:t>
      </w:r>
      <w:r w:rsidR="002632AA">
        <w:rPr>
          <w:rFonts w:ascii="Garamond" w:eastAsia="Garamond" w:hAnsi="Garamond" w:cs="Garamond"/>
        </w:rPr>
        <w:t>address</w:t>
      </w:r>
      <w:r w:rsidRPr="0080605C">
        <w:rPr>
          <w:rFonts w:ascii="Garamond" w:eastAsia="Garamond" w:hAnsi="Garamond" w:cs="Garamond"/>
        </w:rPr>
        <w:t xml:space="preserve"> both concerns in turn. </w:t>
      </w:r>
      <w:r w:rsidR="00C26B5C" w:rsidRPr="0080605C">
        <w:rPr>
          <w:rFonts w:ascii="Garamond" w:eastAsia="Garamond" w:hAnsi="Garamond" w:cs="Garamond"/>
        </w:rPr>
        <w:t>There</w:t>
      </w:r>
      <w:r w:rsidR="00C90902" w:rsidRPr="0080605C">
        <w:rPr>
          <w:rFonts w:ascii="Garamond" w:eastAsia="Garamond" w:hAnsi="Garamond" w:cs="Garamond"/>
        </w:rPr>
        <w:t xml:space="preserve"> are several reasons why we should not oppose the legalization of </w:t>
      </w:r>
      <w:r w:rsidR="00072335" w:rsidRPr="0080605C">
        <w:rPr>
          <w:rFonts w:ascii="Garamond" w:eastAsia="Garamond" w:hAnsi="Garamond" w:cs="Garamond"/>
        </w:rPr>
        <w:t xml:space="preserve">surrogate-requested </w:t>
      </w:r>
      <w:r w:rsidR="00843CB9" w:rsidRPr="0080605C">
        <w:rPr>
          <w:rFonts w:ascii="Garamond" w:eastAsia="Garamond" w:hAnsi="Garamond" w:cs="Garamond"/>
        </w:rPr>
        <w:t>PAD</w:t>
      </w:r>
      <w:r w:rsidR="00C90902" w:rsidRPr="0080605C">
        <w:rPr>
          <w:rFonts w:ascii="Garamond" w:eastAsia="Garamond" w:hAnsi="Garamond" w:cs="Garamond"/>
        </w:rPr>
        <w:t xml:space="preserve"> in order to avoid </w:t>
      </w:r>
      <w:r w:rsidR="00C26B5C" w:rsidRPr="0080605C">
        <w:rPr>
          <w:rFonts w:ascii="Garamond" w:eastAsia="Garamond" w:hAnsi="Garamond" w:cs="Garamond"/>
        </w:rPr>
        <w:t>the risk of duplicitous surrogates</w:t>
      </w:r>
      <w:r w:rsidR="00C90902" w:rsidRPr="0080605C">
        <w:rPr>
          <w:rFonts w:ascii="Garamond" w:eastAsia="Garamond" w:hAnsi="Garamond" w:cs="Garamond"/>
        </w:rPr>
        <w:t xml:space="preserve">. First and foremost, if concerns about </w:t>
      </w:r>
      <w:r w:rsidR="00C26B5C" w:rsidRPr="0080605C">
        <w:rPr>
          <w:rFonts w:ascii="Garamond" w:eastAsia="Garamond" w:hAnsi="Garamond" w:cs="Garamond"/>
        </w:rPr>
        <w:t xml:space="preserve">duplicitous surrogates </w:t>
      </w:r>
      <w:r w:rsidR="00C90902" w:rsidRPr="0080605C">
        <w:rPr>
          <w:rFonts w:ascii="Garamond" w:eastAsia="Garamond" w:hAnsi="Garamond" w:cs="Garamond"/>
        </w:rPr>
        <w:t xml:space="preserve">are a concern in </w:t>
      </w:r>
      <w:r w:rsidR="00843CB9" w:rsidRPr="0080605C">
        <w:rPr>
          <w:rFonts w:ascii="Garamond" w:eastAsia="Garamond" w:hAnsi="Garamond" w:cs="Garamond"/>
        </w:rPr>
        <w:t>PAD</w:t>
      </w:r>
      <w:r w:rsidR="00C90902" w:rsidRPr="0080605C">
        <w:rPr>
          <w:rFonts w:ascii="Garamond" w:eastAsia="Garamond" w:hAnsi="Garamond" w:cs="Garamond"/>
        </w:rPr>
        <w:t xml:space="preserve"> cases, then they are also a concern in withdrawal of care cases. Surrogates may opt to withdraw life-sustaining treatment for the same sorts of malevolent motives that might move them to request </w:t>
      </w:r>
      <w:r w:rsidR="00843CB9" w:rsidRPr="0080605C">
        <w:rPr>
          <w:rFonts w:ascii="Garamond" w:eastAsia="Garamond" w:hAnsi="Garamond" w:cs="Garamond"/>
        </w:rPr>
        <w:t>PAD</w:t>
      </w:r>
      <w:r w:rsidR="00C90902" w:rsidRPr="0080605C">
        <w:rPr>
          <w:rFonts w:ascii="Garamond" w:eastAsia="Garamond" w:hAnsi="Garamond" w:cs="Garamond"/>
        </w:rPr>
        <w:t xml:space="preserve">. But given that we grant that withdrawal of care requests are often in patients’ interests near the end of life, it is reasonable to think that the benefits that patients reap from </w:t>
      </w:r>
      <w:r w:rsidR="004105A5" w:rsidRPr="0080605C">
        <w:rPr>
          <w:rFonts w:ascii="Garamond" w:eastAsia="Garamond" w:hAnsi="Garamond" w:cs="Garamond"/>
        </w:rPr>
        <w:t>this</w:t>
      </w:r>
      <w:r w:rsidR="00C90902" w:rsidRPr="0080605C">
        <w:rPr>
          <w:rFonts w:ascii="Garamond" w:eastAsia="Garamond" w:hAnsi="Garamond" w:cs="Garamond"/>
        </w:rPr>
        <w:t xml:space="preserve"> surrogacy practice are </w:t>
      </w:r>
      <w:r w:rsidR="004105A5" w:rsidRPr="0080605C">
        <w:rPr>
          <w:rFonts w:ascii="Garamond" w:eastAsia="Garamond" w:hAnsi="Garamond" w:cs="Garamond"/>
        </w:rPr>
        <w:t>large enough</w:t>
      </w:r>
      <w:r w:rsidR="00C90902" w:rsidRPr="0080605C">
        <w:rPr>
          <w:rFonts w:ascii="Garamond" w:eastAsia="Garamond" w:hAnsi="Garamond" w:cs="Garamond"/>
        </w:rPr>
        <w:t xml:space="preserve"> to outweigh the risk posed by malevolent surrogates. The same argument, we think, applies to </w:t>
      </w:r>
      <w:r w:rsidR="00C43370" w:rsidRPr="0080605C">
        <w:rPr>
          <w:rFonts w:ascii="Garamond" w:eastAsia="Garamond" w:hAnsi="Garamond" w:cs="Garamond"/>
        </w:rPr>
        <w:t>surrogate-requested</w:t>
      </w:r>
      <w:r w:rsidR="00204C6A" w:rsidRPr="0080605C">
        <w:rPr>
          <w:rFonts w:ascii="Garamond" w:eastAsia="Garamond" w:hAnsi="Garamond" w:cs="Garamond"/>
        </w:rPr>
        <w:t xml:space="preserve"> </w:t>
      </w:r>
      <w:r w:rsidR="00843CB9" w:rsidRPr="0080605C">
        <w:rPr>
          <w:rFonts w:ascii="Garamond" w:eastAsia="Garamond" w:hAnsi="Garamond" w:cs="Garamond"/>
        </w:rPr>
        <w:t>PAD</w:t>
      </w:r>
      <w:r w:rsidR="00C90902" w:rsidRPr="0080605C">
        <w:rPr>
          <w:rFonts w:ascii="Garamond" w:eastAsia="Garamond" w:hAnsi="Garamond" w:cs="Garamond"/>
        </w:rPr>
        <w:t>.</w:t>
      </w:r>
    </w:p>
    <w:p w14:paraId="418AF6F6" w14:textId="6D1F997D" w:rsidR="00C90902" w:rsidRPr="0080605C" w:rsidRDefault="00C90902" w:rsidP="00877269">
      <w:pPr>
        <w:spacing w:line="480" w:lineRule="auto"/>
        <w:ind w:firstLine="720"/>
        <w:jc w:val="both"/>
        <w:rPr>
          <w:rFonts w:ascii="Garamond" w:eastAsia="Garamond" w:hAnsi="Garamond" w:cs="Garamond"/>
        </w:rPr>
      </w:pPr>
      <w:r w:rsidRPr="0080605C">
        <w:rPr>
          <w:rFonts w:ascii="Garamond" w:eastAsia="Garamond" w:hAnsi="Garamond" w:cs="Garamond"/>
        </w:rPr>
        <w:t xml:space="preserve">Further, even if we grant that </w:t>
      </w:r>
      <w:r w:rsidR="00072335" w:rsidRPr="0080605C">
        <w:rPr>
          <w:rFonts w:ascii="Garamond" w:eastAsia="Garamond" w:hAnsi="Garamond" w:cs="Garamond"/>
        </w:rPr>
        <w:t xml:space="preserve">surrogate-requested </w:t>
      </w:r>
      <w:r w:rsidR="00843CB9" w:rsidRPr="0080605C">
        <w:rPr>
          <w:rFonts w:ascii="Garamond" w:eastAsia="Garamond" w:hAnsi="Garamond" w:cs="Garamond"/>
        </w:rPr>
        <w:t>PAD</w:t>
      </w:r>
      <w:r w:rsidRPr="0080605C">
        <w:rPr>
          <w:rFonts w:ascii="Garamond" w:eastAsia="Garamond" w:hAnsi="Garamond" w:cs="Garamond"/>
        </w:rPr>
        <w:t xml:space="preserve"> presents more opportunities for malevolence than </w:t>
      </w:r>
      <w:r w:rsidR="00072335" w:rsidRPr="0080605C">
        <w:rPr>
          <w:rFonts w:ascii="Garamond" w:eastAsia="Garamond" w:hAnsi="Garamond" w:cs="Garamond"/>
        </w:rPr>
        <w:t xml:space="preserve">surrogate-requested </w:t>
      </w:r>
      <w:r w:rsidR="00C26B5C" w:rsidRPr="0080605C">
        <w:rPr>
          <w:rFonts w:ascii="Garamond" w:eastAsia="Garamond" w:hAnsi="Garamond" w:cs="Garamond"/>
        </w:rPr>
        <w:t>withdrawal of care</w:t>
      </w:r>
      <w:r w:rsidRPr="0080605C">
        <w:rPr>
          <w:rFonts w:ascii="Garamond" w:eastAsia="Garamond" w:hAnsi="Garamond" w:cs="Garamond"/>
        </w:rPr>
        <w:t xml:space="preserve">, it is not clear why this possibility gives us reason to oppose the practice, rather than just demand that it be </w:t>
      </w:r>
      <w:r w:rsidR="00311A3C" w:rsidRPr="0080605C">
        <w:rPr>
          <w:rFonts w:ascii="Garamond" w:eastAsia="Garamond" w:hAnsi="Garamond" w:cs="Garamond"/>
        </w:rPr>
        <w:t>strictly</w:t>
      </w:r>
      <w:r w:rsidRPr="0080605C">
        <w:rPr>
          <w:rFonts w:ascii="Garamond" w:eastAsia="Garamond" w:hAnsi="Garamond" w:cs="Garamond"/>
        </w:rPr>
        <w:t xml:space="preserve">-regulated. If </w:t>
      </w:r>
      <w:r w:rsidR="00072335" w:rsidRPr="0080605C">
        <w:rPr>
          <w:rFonts w:ascii="Garamond" w:eastAsia="Garamond" w:hAnsi="Garamond" w:cs="Garamond"/>
        </w:rPr>
        <w:t>surrogate-</w:t>
      </w:r>
      <w:r w:rsidR="00072335" w:rsidRPr="0080605C">
        <w:rPr>
          <w:rFonts w:ascii="Garamond" w:eastAsia="Garamond" w:hAnsi="Garamond" w:cs="Garamond"/>
        </w:rPr>
        <w:lastRenderedPageBreak/>
        <w:t xml:space="preserve">requested </w:t>
      </w:r>
      <w:r w:rsidR="00843CB9" w:rsidRPr="0080605C">
        <w:rPr>
          <w:rFonts w:ascii="Garamond" w:eastAsia="Garamond" w:hAnsi="Garamond" w:cs="Garamond"/>
        </w:rPr>
        <w:t>PAD</w:t>
      </w:r>
      <w:r w:rsidRPr="0080605C">
        <w:rPr>
          <w:rFonts w:ascii="Garamond" w:eastAsia="Garamond" w:hAnsi="Garamond" w:cs="Garamond"/>
        </w:rPr>
        <w:t xml:space="preserve"> were legalized, it should of course benefit from safeguards </w:t>
      </w:r>
      <w:r w:rsidR="002D2BBF" w:rsidRPr="0080605C">
        <w:rPr>
          <w:rFonts w:ascii="Garamond" w:eastAsia="Garamond" w:hAnsi="Garamond" w:cs="Garamond"/>
        </w:rPr>
        <w:t>similar to, or even more stringent than the</w:t>
      </w:r>
      <w:r w:rsidRPr="0080605C">
        <w:rPr>
          <w:rFonts w:ascii="Garamond" w:eastAsia="Garamond" w:hAnsi="Garamond" w:cs="Garamond"/>
        </w:rPr>
        <w:t xml:space="preserve"> </w:t>
      </w:r>
      <w:r w:rsidR="002D2BBF" w:rsidRPr="0080605C">
        <w:rPr>
          <w:rFonts w:ascii="Garamond" w:eastAsia="Garamond" w:hAnsi="Garamond" w:cs="Garamond"/>
        </w:rPr>
        <w:t>safeguards</w:t>
      </w:r>
      <w:r w:rsidRPr="0080605C">
        <w:rPr>
          <w:rFonts w:ascii="Garamond" w:eastAsia="Garamond" w:hAnsi="Garamond" w:cs="Garamond"/>
        </w:rPr>
        <w:t xml:space="preserve"> used to regulate </w:t>
      </w:r>
      <w:r w:rsidR="00072335" w:rsidRPr="0080605C">
        <w:rPr>
          <w:rFonts w:ascii="Garamond" w:eastAsia="Garamond" w:hAnsi="Garamond" w:cs="Garamond"/>
        </w:rPr>
        <w:t xml:space="preserve">patient-requested </w:t>
      </w:r>
      <w:r w:rsidR="00843CB9" w:rsidRPr="0080605C">
        <w:rPr>
          <w:rFonts w:ascii="Garamond" w:eastAsia="Garamond" w:hAnsi="Garamond" w:cs="Garamond"/>
        </w:rPr>
        <w:t>PAD</w:t>
      </w:r>
      <w:r w:rsidRPr="0080605C">
        <w:rPr>
          <w:rFonts w:ascii="Garamond" w:eastAsia="Garamond" w:hAnsi="Garamond" w:cs="Garamond"/>
        </w:rPr>
        <w:t xml:space="preserve">. </w:t>
      </w:r>
      <w:r w:rsidR="002D2BBF" w:rsidRPr="0080605C">
        <w:rPr>
          <w:rFonts w:ascii="Garamond" w:eastAsia="Garamond" w:hAnsi="Garamond" w:cs="Garamond"/>
        </w:rPr>
        <w:t>Surrogate decision</w:t>
      </w:r>
      <w:r w:rsidR="00F07ED9">
        <w:rPr>
          <w:rFonts w:ascii="Garamond" w:eastAsia="Garamond" w:hAnsi="Garamond" w:cs="Garamond"/>
        </w:rPr>
        <w:t xml:space="preserve"> </w:t>
      </w:r>
      <w:r w:rsidR="002D2BBF" w:rsidRPr="0080605C">
        <w:rPr>
          <w:rFonts w:ascii="Garamond" w:eastAsia="Garamond" w:hAnsi="Garamond" w:cs="Garamond"/>
        </w:rPr>
        <w:t>makers might, for instance, be required to have their request approved by multiple medical professionals, be required to undergo a waiting period between requesting PAD and having their request granted</w:t>
      </w:r>
      <w:r w:rsidR="00877269" w:rsidRPr="0080605C">
        <w:rPr>
          <w:rFonts w:ascii="Garamond" w:eastAsia="Garamond" w:hAnsi="Garamond" w:cs="Garamond"/>
        </w:rPr>
        <w:t>, or be required to discuss their wishes with a medical ethicist</w:t>
      </w:r>
      <w:r w:rsidR="002D2BBF" w:rsidRPr="0080605C">
        <w:rPr>
          <w:rFonts w:ascii="Garamond" w:eastAsia="Garamond" w:hAnsi="Garamond" w:cs="Garamond"/>
        </w:rPr>
        <w:t>.</w:t>
      </w:r>
      <w:r w:rsidR="00877269" w:rsidRPr="0080605C">
        <w:rPr>
          <w:rFonts w:ascii="Garamond" w:eastAsia="Garamond" w:hAnsi="Garamond" w:cs="Garamond"/>
        </w:rPr>
        <w:t xml:space="preserve"> </w:t>
      </w:r>
      <w:r w:rsidR="00993785" w:rsidRPr="0080605C">
        <w:rPr>
          <w:rFonts w:ascii="Garamond" w:eastAsia="Garamond" w:hAnsi="Garamond" w:cs="Garamond"/>
        </w:rPr>
        <w:t xml:space="preserve">We might also narrow the window in which surrogate-requested PAD may be requested by requiring that death not merely be reasonably foreseeable, but likely imminent. </w:t>
      </w:r>
      <w:r w:rsidR="00877269" w:rsidRPr="0080605C">
        <w:rPr>
          <w:rFonts w:ascii="Garamond" w:eastAsia="Garamond" w:hAnsi="Garamond" w:cs="Garamond"/>
        </w:rPr>
        <w:t>We offer these suggestions not to officially endorse them, but to make clear some of the ways in which risk of malevolent surrogate decision</w:t>
      </w:r>
      <w:r w:rsidR="00F07ED9">
        <w:rPr>
          <w:rFonts w:ascii="Garamond" w:eastAsia="Garamond" w:hAnsi="Garamond" w:cs="Garamond"/>
        </w:rPr>
        <w:t xml:space="preserve"> </w:t>
      </w:r>
      <w:r w:rsidR="00877269" w:rsidRPr="0080605C">
        <w:rPr>
          <w:rFonts w:ascii="Garamond" w:eastAsia="Garamond" w:hAnsi="Garamond" w:cs="Garamond"/>
        </w:rPr>
        <w:t>makers may be mitigated.</w:t>
      </w:r>
    </w:p>
    <w:p w14:paraId="400AAC74" w14:textId="705033EA" w:rsidR="00B84867" w:rsidRPr="002632AA" w:rsidRDefault="00B84867" w:rsidP="00877269">
      <w:pPr>
        <w:spacing w:line="480" w:lineRule="auto"/>
        <w:ind w:firstLine="720"/>
        <w:jc w:val="both"/>
        <w:rPr>
          <w:rFonts w:ascii="Garamond" w:eastAsia="Times New Roman" w:hAnsi="Garamond" w:cs="Times New Roman"/>
        </w:rPr>
      </w:pPr>
      <w:r w:rsidRPr="002632AA">
        <w:rPr>
          <w:rFonts w:ascii="Garamond" w:eastAsia="Times New Roman" w:hAnsi="Garamond" w:cs="Times New Roman"/>
        </w:rPr>
        <w:t xml:space="preserve">We think </w:t>
      </w:r>
      <w:r w:rsidR="00F07ED9">
        <w:rPr>
          <w:rFonts w:ascii="Garamond" w:eastAsia="Times New Roman" w:hAnsi="Garamond" w:cs="Times New Roman"/>
        </w:rPr>
        <w:t xml:space="preserve">that </w:t>
      </w:r>
      <w:r w:rsidRPr="002632AA">
        <w:rPr>
          <w:rFonts w:ascii="Garamond" w:eastAsia="Times New Roman" w:hAnsi="Garamond" w:cs="Times New Roman"/>
        </w:rPr>
        <w:t xml:space="preserve">similar responses can be made to the expressivist worry offered above. If we are concerned about the </w:t>
      </w:r>
      <w:r w:rsidR="0080605C">
        <w:rPr>
          <w:rFonts w:ascii="Garamond" w:eastAsia="Times New Roman" w:hAnsi="Garamond" w:cs="Times New Roman"/>
        </w:rPr>
        <w:t>disrespectful</w:t>
      </w:r>
      <w:r w:rsidRPr="002632AA">
        <w:rPr>
          <w:rFonts w:ascii="Garamond" w:eastAsia="Times New Roman" w:hAnsi="Garamond" w:cs="Times New Roman"/>
        </w:rPr>
        <w:t xml:space="preserve"> messages potentially expressed by surrogate-requested PAD, we </w:t>
      </w:r>
      <w:r w:rsidR="002632AA">
        <w:rPr>
          <w:rFonts w:ascii="Garamond" w:eastAsia="Times New Roman" w:hAnsi="Garamond" w:cs="Times New Roman"/>
        </w:rPr>
        <w:t>must</w:t>
      </w:r>
      <w:r w:rsidRPr="002632AA">
        <w:rPr>
          <w:rFonts w:ascii="Garamond" w:eastAsia="Times New Roman" w:hAnsi="Garamond" w:cs="Times New Roman"/>
        </w:rPr>
        <w:t xml:space="preserve"> be able to explain why those messages are different </w:t>
      </w:r>
      <w:r w:rsidR="00AE3655">
        <w:rPr>
          <w:rFonts w:ascii="Garamond" w:eastAsia="Times New Roman" w:hAnsi="Garamond" w:cs="Times New Roman"/>
        </w:rPr>
        <w:t>from</w:t>
      </w:r>
      <w:r w:rsidR="00AE3655" w:rsidRPr="002632AA">
        <w:rPr>
          <w:rFonts w:ascii="Garamond" w:eastAsia="Times New Roman" w:hAnsi="Garamond" w:cs="Times New Roman"/>
        </w:rPr>
        <w:t xml:space="preserve"> </w:t>
      </w:r>
      <w:r w:rsidRPr="002632AA">
        <w:rPr>
          <w:rFonts w:ascii="Garamond" w:eastAsia="Times New Roman" w:hAnsi="Garamond" w:cs="Times New Roman"/>
        </w:rPr>
        <w:t xml:space="preserve">the ones present in surrogate-requested WOC. </w:t>
      </w:r>
      <w:r w:rsidR="00993785" w:rsidRPr="002632AA">
        <w:rPr>
          <w:rFonts w:ascii="Garamond" w:eastAsia="Times New Roman" w:hAnsi="Garamond" w:cs="Times New Roman"/>
        </w:rPr>
        <w:t xml:space="preserve">After all, the latter practice involves the recognition that extending a life may sometimes constitute a harm to a patient. </w:t>
      </w:r>
      <w:r w:rsidRPr="002632AA">
        <w:rPr>
          <w:rFonts w:ascii="Garamond" w:eastAsia="Times New Roman" w:hAnsi="Garamond" w:cs="Times New Roman"/>
        </w:rPr>
        <w:t>We think, further, that providing serious legal safeguards on the practice</w:t>
      </w:r>
      <w:r w:rsidR="00993785" w:rsidRPr="002632AA">
        <w:rPr>
          <w:rFonts w:ascii="Garamond" w:eastAsia="Times New Roman" w:hAnsi="Garamond" w:cs="Times New Roman"/>
        </w:rPr>
        <w:t>, as well as limiting</w:t>
      </w:r>
      <w:r w:rsidRPr="002632AA">
        <w:rPr>
          <w:rFonts w:ascii="Garamond" w:eastAsia="Times New Roman" w:hAnsi="Garamond" w:cs="Times New Roman"/>
        </w:rPr>
        <w:t xml:space="preserve"> </w:t>
      </w:r>
      <w:r w:rsidR="00993785">
        <w:rPr>
          <w:rFonts w:ascii="Garamond" w:eastAsia="Times New Roman" w:hAnsi="Garamond" w:cs="Times New Roman"/>
        </w:rPr>
        <w:t xml:space="preserve">the range of time in which PAD may be requested by surrogates, </w:t>
      </w:r>
      <w:r w:rsidRPr="002632AA">
        <w:rPr>
          <w:rFonts w:ascii="Garamond" w:eastAsia="Times New Roman" w:hAnsi="Garamond" w:cs="Times New Roman"/>
        </w:rPr>
        <w:t xml:space="preserve">can also </w:t>
      </w:r>
      <w:r w:rsidR="00993785" w:rsidRPr="002632AA">
        <w:rPr>
          <w:rFonts w:ascii="Garamond" w:eastAsia="Times New Roman" w:hAnsi="Garamond" w:cs="Times New Roman"/>
        </w:rPr>
        <w:t xml:space="preserve">communicate the message that </w:t>
      </w:r>
      <w:r w:rsidR="002632AA">
        <w:rPr>
          <w:rFonts w:ascii="Garamond" w:eastAsia="Times New Roman" w:hAnsi="Garamond" w:cs="Times New Roman"/>
        </w:rPr>
        <w:t>deciding whether to</w:t>
      </w:r>
      <w:r w:rsidR="00993785" w:rsidRPr="002632AA">
        <w:rPr>
          <w:rFonts w:ascii="Garamond" w:eastAsia="Times New Roman" w:hAnsi="Garamond" w:cs="Times New Roman"/>
        </w:rPr>
        <w:t xml:space="preserve"> request PAD </w:t>
      </w:r>
      <w:r w:rsidR="002632AA">
        <w:rPr>
          <w:rFonts w:ascii="Garamond" w:eastAsia="Times New Roman" w:hAnsi="Garamond" w:cs="Times New Roman"/>
        </w:rPr>
        <w:t>for</w:t>
      </w:r>
      <w:r w:rsidR="00993785" w:rsidRPr="002632AA">
        <w:rPr>
          <w:rFonts w:ascii="Garamond" w:eastAsia="Times New Roman" w:hAnsi="Garamond" w:cs="Times New Roman"/>
        </w:rPr>
        <w:t xml:space="preserve"> someone else </w:t>
      </w:r>
      <w:r w:rsidR="002632AA">
        <w:rPr>
          <w:rFonts w:ascii="Garamond" w:eastAsia="Times New Roman" w:hAnsi="Garamond" w:cs="Times New Roman"/>
        </w:rPr>
        <w:t>is</w:t>
      </w:r>
      <w:r w:rsidR="002632AA" w:rsidRPr="002632AA">
        <w:rPr>
          <w:rFonts w:ascii="Garamond" w:eastAsia="Times New Roman" w:hAnsi="Garamond" w:cs="Times New Roman"/>
        </w:rPr>
        <w:t xml:space="preserve"> </w:t>
      </w:r>
      <w:r w:rsidR="00993785" w:rsidRPr="002632AA">
        <w:rPr>
          <w:rFonts w:ascii="Garamond" w:eastAsia="Times New Roman" w:hAnsi="Garamond" w:cs="Times New Roman"/>
        </w:rPr>
        <w:t>in no way trivial</w:t>
      </w:r>
      <w:r w:rsidR="00993785">
        <w:rPr>
          <w:rFonts w:ascii="Garamond" w:eastAsia="Times New Roman" w:hAnsi="Garamond" w:cs="Times New Roman"/>
        </w:rPr>
        <w:t xml:space="preserve">, </w:t>
      </w:r>
      <w:r w:rsidR="00993785" w:rsidRPr="002632AA">
        <w:rPr>
          <w:rFonts w:ascii="Garamond" w:eastAsia="Times New Roman" w:hAnsi="Garamond" w:cs="Times New Roman"/>
        </w:rPr>
        <w:t>easy</w:t>
      </w:r>
      <w:r w:rsidR="00993785">
        <w:rPr>
          <w:rFonts w:ascii="Garamond" w:eastAsia="Times New Roman" w:hAnsi="Garamond" w:cs="Times New Roman"/>
        </w:rPr>
        <w:t>, or a means of ‘offloading’ the burdens of end of life care</w:t>
      </w:r>
      <w:r w:rsidR="00993785" w:rsidRPr="002632AA">
        <w:rPr>
          <w:rFonts w:ascii="Garamond" w:eastAsia="Times New Roman" w:hAnsi="Garamond" w:cs="Times New Roman"/>
        </w:rPr>
        <w:t xml:space="preserve">. </w:t>
      </w:r>
    </w:p>
    <w:p w14:paraId="0B310A0C" w14:textId="61D2BB7C" w:rsidR="00C90902" w:rsidRPr="0080605C" w:rsidRDefault="002372C6" w:rsidP="00EA3155">
      <w:pPr>
        <w:spacing w:line="480" w:lineRule="auto"/>
        <w:ind w:firstLine="720"/>
        <w:jc w:val="both"/>
        <w:rPr>
          <w:rFonts w:ascii="Garamond" w:eastAsia="Garamond" w:hAnsi="Garamond" w:cs="Garamond"/>
        </w:rPr>
      </w:pPr>
      <w:r w:rsidRPr="00993785">
        <w:rPr>
          <w:rFonts w:ascii="Garamond" w:eastAsia="Times New Roman" w:hAnsi="Garamond" w:cs="Times New Roman"/>
        </w:rPr>
        <w:t>What about</w:t>
      </w:r>
      <w:r w:rsidR="00A84D6A" w:rsidRPr="00993785">
        <w:rPr>
          <w:rFonts w:ascii="Garamond" w:eastAsia="Times New Roman" w:hAnsi="Garamond" w:cs="Times New Roman"/>
        </w:rPr>
        <w:t xml:space="preserve"> </w:t>
      </w:r>
      <w:r w:rsidR="00C90902" w:rsidRPr="00993785">
        <w:rPr>
          <w:rFonts w:ascii="Garamond" w:eastAsia="Times New Roman" w:hAnsi="Garamond" w:cs="Times New Roman"/>
        </w:rPr>
        <w:t xml:space="preserve">surrogates who </w:t>
      </w:r>
      <w:r w:rsidR="00800032" w:rsidRPr="00993785">
        <w:rPr>
          <w:rFonts w:ascii="Garamond" w:eastAsia="Times New Roman" w:hAnsi="Garamond" w:cs="Times New Roman"/>
        </w:rPr>
        <w:t>are appointed by patients</w:t>
      </w:r>
      <w:r w:rsidRPr="00993785">
        <w:rPr>
          <w:rFonts w:ascii="Garamond" w:eastAsia="Times New Roman" w:hAnsi="Garamond" w:cs="Times New Roman"/>
        </w:rPr>
        <w:t>,</w:t>
      </w:r>
      <w:r w:rsidR="00800032" w:rsidRPr="00993785">
        <w:rPr>
          <w:rFonts w:ascii="Garamond" w:eastAsia="Times New Roman" w:hAnsi="Garamond" w:cs="Times New Roman"/>
        </w:rPr>
        <w:t xml:space="preserve"> </w:t>
      </w:r>
      <w:r w:rsidRPr="00993785">
        <w:rPr>
          <w:rFonts w:ascii="Garamond" w:eastAsia="Times New Roman" w:hAnsi="Garamond" w:cs="Times New Roman"/>
        </w:rPr>
        <w:t>despite not sharing</w:t>
      </w:r>
      <w:r w:rsidR="00C90902" w:rsidRPr="00993785">
        <w:rPr>
          <w:rFonts w:ascii="Garamond" w:eastAsia="Times New Roman" w:hAnsi="Garamond" w:cs="Times New Roman"/>
        </w:rPr>
        <w:t xml:space="preserve"> close relationships with </w:t>
      </w:r>
      <w:r w:rsidR="00800032" w:rsidRPr="00C4717A">
        <w:rPr>
          <w:rFonts w:ascii="Garamond" w:eastAsia="Times New Roman" w:hAnsi="Garamond" w:cs="Times New Roman"/>
        </w:rPr>
        <w:t>them</w:t>
      </w:r>
      <w:r w:rsidRPr="00C4717A">
        <w:rPr>
          <w:rFonts w:ascii="Garamond" w:eastAsia="Times New Roman" w:hAnsi="Garamond" w:cs="Times New Roman"/>
        </w:rPr>
        <w:t>?</w:t>
      </w:r>
      <w:r w:rsidR="00C90902" w:rsidRPr="00C4717A">
        <w:rPr>
          <w:rFonts w:ascii="Garamond" w:eastAsia="Times New Roman" w:hAnsi="Garamond" w:cs="Times New Roman"/>
        </w:rPr>
        <w:t xml:space="preserve"> </w:t>
      </w:r>
      <w:r w:rsidR="00A84D6A" w:rsidRPr="00C4717A">
        <w:rPr>
          <w:rFonts w:ascii="Garamond" w:eastAsia="Times New Roman" w:hAnsi="Garamond" w:cs="Times New Roman"/>
        </w:rPr>
        <w:t>I</w:t>
      </w:r>
      <w:r w:rsidR="00C90902" w:rsidRPr="005B1297">
        <w:rPr>
          <w:rFonts w:ascii="Garamond" w:eastAsia="Times New Roman" w:hAnsi="Garamond" w:cs="Times New Roman"/>
        </w:rPr>
        <w:t xml:space="preserve">magine that, </w:t>
      </w:r>
      <w:r w:rsidR="00C90902" w:rsidRPr="005B1297">
        <w:rPr>
          <w:rFonts w:ascii="Garamond" w:eastAsia="Garamond" w:hAnsi="Garamond" w:cs="Garamond"/>
        </w:rPr>
        <w:t xml:space="preserve">rather than appoint his wife as medical surrogate, </w:t>
      </w:r>
      <w:r w:rsidR="00963870" w:rsidRPr="005B1297">
        <w:rPr>
          <w:rFonts w:ascii="Garamond" w:eastAsia="Garamond" w:hAnsi="Garamond" w:cs="Garamond"/>
        </w:rPr>
        <w:t xml:space="preserve">Francis </w:t>
      </w:r>
      <w:r w:rsidR="00C90902" w:rsidRPr="005B1297">
        <w:rPr>
          <w:rFonts w:ascii="Garamond" w:eastAsia="Garamond" w:hAnsi="Garamond" w:cs="Garamond"/>
        </w:rPr>
        <w:t xml:space="preserve">instead appointed his accountant, </w:t>
      </w:r>
      <w:r w:rsidR="00963870" w:rsidRPr="005B1297">
        <w:rPr>
          <w:rFonts w:ascii="Garamond" w:eastAsia="Garamond" w:hAnsi="Garamond" w:cs="Garamond"/>
        </w:rPr>
        <w:t>Freya</w:t>
      </w:r>
      <w:r w:rsidR="00C90902" w:rsidRPr="005B1297">
        <w:rPr>
          <w:rFonts w:ascii="Garamond" w:eastAsia="Garamond" w:hAnsi="Garamond" w:cs="Garamond"/>
        </w:rPr>
        <w:t>. Perhaps he thought that her impartial reasoning would prevent her from making impulsive medical decisions. Cer</w:t>
      </w:r>
      <w:r w:rsidR="00C90902" w:rsidRPr="00A43FD1">
        <w:rPr>
          <w:rFonts w:ascii="Garamond" w:eastAsia="Garamond" w:hAnsi="Garamond" w:cs="Garamond"/>
        </w:rPr>
        <w:t xml:space="preserve">tainly, </w:t>
      </w:r>
      <w:r w:rsidR="00963870" w:rsidRPr="00A43FD1">
        <w:rPr>
          <w:rFonts w:ascii="Garamond" w:eastAsia="Garamond" w:hAnsi="Garamond" w:cs="Garamond"/>
        </w:rPr>
        <w:t xml:space="preserve">Freya </w:t>
      </w:r>
      <w:r w:rsidR="004A28D8" w:rsidRPr="00A43FD1">
        <w:rPr>
          <w:rFonts w:ascii="Garamond" w:eastAsia="Garamond" w:hAnsi="Garamond" w:cs="Garamond"/>
        </w:rPr>
        <w:t xml:space="preserve">may </w:t>
      </w:r>
      <w:r w:rsidR="00C90902" w:rsidRPr="00A43FD1">
        <w:rPr>
          <w:rFonts w:ascii="Garamond" w:eastAsia="Garamond" w:hAnsi="Garamond" w:cs="Garamond"/>
        </w:rPr>
        <w:t xml:space="preserve">not be as well placed as </w:t>
      </w:r>
      <w:r w:rsidR="00963870" w:rsidRPr="00A43FD1">
        <w:rPr>
          <w:rFonts w:ascii="Garamond" w:eastAsia="Garamond" w:hAnsi="Garamond" w:cs="Garamond"/>
        </w:rPr>
        <w:t xml:space="preserve">Fiona </w:t>
      </w:r>
      <w:r w:rsidR="00C90902" w:rsidRPr="001A26FE">
        <w:rPr>
          <w:rFonts w:ascii="Garamond" w:eastAsia="Garamond" w:hAnsi="Garamond" w:cs="Garamond"/>
        </w:rPr>
        <w:t xml:space="preserve">to act in accordance with </w:t>
      </w:r>
      <w:r w:rsidR="00963870" w:rsidRPr="002B5CD1">
        <w:rPr>
          <w:rFonts w:ascii="Garamond" w:eastAsia="Garamond" w:hAnsi="Garamond" w:cs="Garamond"/>
        </w:rPr>
        <w:t xml:space="preserve">Francis’s </w:t>
      </w:r>
      <w:r w:rsidR="00C90902" w:rsidRPr="002B5CD1">
        <w:rPr>
          <w:rFonts w:ascii="Garamond" w:eastAsia="Garamond" w:hAnsi="Garamond" w:cs="Garamond"/>
        </w:rPr>
        <w:t xml:space="preserve">deepest values and commitments. Nevertheless,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doctors would still have a reason to respect </w:t>
      </w:r>
      <w:r w:rsidR="00963870" w:rsidRPr="0080605C">
        <w:rPr>
          <w:rFonts w:ascii="Garamond" w:eastAsia="Garamond" w:hAnsi="Garamond" w:cs="Garamond"/>
        </w:rPr>
        <w:t xml:space="preserve">Freya’s </w:t>
      </w:r>
      <w:r w:rsidR="00204C6A" w:rsidRPr="0080605C">
        <w:rPr>
          <w:rFonts w:ascii="Garamond" w:eastAsia="Garamond" w:hAnsi="Garamond" w:cs="Garamond"/>
        </w:rPr>
        <w:t>decisions</w:t>
      </w:r>
      <w:r w:rsidR="00EF1124" w:rsidRPr="0080605C">
        <w:rPr>
          <w:rFonts w:ascii="Garamond" w:eastAsia="Garamond" w:hAnsi="Garamond" w:cs="Garamond"/>
        </w:rPr>
        <w:t>: after all, he told them to</w:t>
      </w:r>
      <w:r w:rsidR="00427F2E">
        <w:rPr>
          <w:rFonts w:ascii="Garamond" w:eastAsia="Garamond" w:hAnsi="Garamond" w:cs="Garamond"/>
        </w:rPr>
        <w:t xml:space="preserve"> respect those decisions</w:t>
      </w:r>
      <w:r w:rsidR="00EF1124" w:rsidRPr="0080605C">
        <w:rPr>
          <w:rFonts w:ascii="Garamond" w:eastAsia="Garamond" w:hAnsi="Garamond" w:cs="Garamond"/>
        </w:rPr>
        <w:t xml:space="preserve">. </w:t>
      </w:r>
      <w:r w:rsidR="00A84D6A" w:rsidRPr="0080605C">
        <w:rPr>
          <w:rFonts w:ascii="Garamond" w:eastAsia="Garamond" w:hAnsi="Garamond" w:cs="Garamond"/>
        </w:rPr>
        <w:t>So</w:t>
      </w:r>
      <w:r w:rsidR="00C90902" w:rsidRPr="0080605C">
        <w:rPr>
          <w:rFonts w:ascii="Garamond" w:eastAsia="Garamond" w:hAnsi="Garamond" w:cs="Garamond"/>
        </w:rPr>
        <w:t xml:space="preserve"> if </w:t>
      </w:r>
      <w:r w:rsidR="00963870" w:rsidRPr="0080605C">
        <w:rPr>
          <w:rFonts w:ascii="Garamond" w:eastAsia="Garamond" w:hAnsi="Garamond" w:cs="Garamond"/>
        </w:rPr>
        <w:t xml:space="preserve">Freya </w:t>
      </w:r>
      <w:r w:rsidR="00C90902" w:rsidRPr="0080605C">
        <w:rPr>
          <w:rFonts w:ascii="Garamond" w:eastAsia="Garamond" w:hAnsi="Garamond" w:cs="Garamond"/>
        </w:rPr>
        <w:t xml:space="preserve">decides to request </w:t>
      </w:r>
      <w:r w:rsidR="00843CB9" w:rsidRPr="0080605C">
        <w:rPr>
          <w:rFonts w:ascii="Garamond" w:eastAsia="Garamond" w:hAnsi="Garamond" w:cs="Garamond"/>
        </w:rPr>
        <w:t>PAD</w:t>
      </w:r>
      <w:r w:rsidR="00C90902" w:rsidRPr="0080605C">
        <w:rPr>
          <w:rFonts w:ascii="Garamond" w:eastAsia="Garamond" w:hAnsi="Garamond" w:cs="Garamond"/>
        </w:rPr>
        <w:t xml:space="preserve"> on </w:t>
      </w:r>
      <w:r w:rsidR="00963870" w:rsidRPr="0080605C">
        <w:rPr>
          <w:rFonts w:ascii="Garamond" w:eastAsia="Garamond" w:hAnsi="Garamond" w:cs="Garamond"/>
        </w:rPr>
        <w:t xml:space="preserve">Francis’s </w:t>
      </w:r>
      <w:r w:rsidR="00C90902" w:rsidRPr="0080605C">
        <w:rPr>
          <w:rFonts w:ascii="Garamond" w:eastAsia="Garamond" w:hAnsi="Garamond" w:cs="Garamond"/>
        </w:rPr>
        <w:t xml:space="preserve">behalf, we will have a reason relating to patient </w:t>
      </w:r>
      <w:r w:rsidR="00EF1124" w:rsidRPr="0080605C">
        <w:rPr>
          <w:rFonts w:ascii="Garamond" w:eastAsia="Garamond" w:hAnsi="Garamond" w:cs="Garamond"/>
        </w:rPr>
        <w:t>sovereignty</w:t>
      </w:r>
      <w:r w:rsidR="00C90902" w:rsidRPr="0080605C">
        <w:rPr>
          <w:rFonts w:ascii="Garamond" w:eastAsia="Garamond" w:hAnsi="Garamond" w:cs="Garamond"/>
        </w:rPr>
        <w:t xml:space="preserve"> to respect her request. </w:t>
      </w:r>
    </w:p>
    <w:p w14:paraId="052E09EF" w14:textId="4FE47A3D" w:rsidR="0040055E" w:rsidRPr="0080605C" w:rsidRDefault="00C90902" w:rsidP="00EA3155">
      <w:pPr>
        <w:widowControl w:val="0"/>
        <w:spacing w:line="480" w:lineRule="auto"/>
        <w:jc w:val="both"/>
        <w:rPr>
          <w:rFonts w:ascii="Garamond" w:eastAsia="Garamond" w:hAnsi="Garamond" w:cs="Garamond"/>
        </w:rPr>
      </w:pPr>
      <w:r w:rsidRPr="0080605C">
        <w:rPr>
          <w:rFonts w:ascii="Garamond" w:eastAsia="Garamond" w:hAnsi="Garamond" w:cs="Garamond"/>
        </w:rPr>
        <w:lastRenderedPageBreak/>
        <w:tab/>
      </w:r>
      <w:r w:rsidR="002372C6" w:rsidRPr="0080605C">
        <w:rPr>
          <w:rFonts w:ascii="Garamond" w:eastAsia="Garamond" w:hAnsi="Garamond" w:cs="Garamond"/>
        </w:rPr>
        <w:t xml:space="preserve">This suggests that, </w:t>
      </w:r>
      <w:r w:rsidR="0040055E" w:rsidRPr="0080605C">
        <w:rPr>
          <w:rFonts w:ascii="Garamond" w:eastAsia="Garamond" w:hAnsi="Garamond" w:cs="Garamond"/>
        </w:rPr>
        <w:t xml:space="preserve">while we might prefer to be able to justify surrogates’ normative authority to request </w:t>
      </w:r>
      <w:r w:rsidR="00843CB9" w:rsidRPr="0080605C">
        <w:rPr>
          <w:rFonts w:ascii="Garamond" w:eastAsia="Garamond" w:hAnsi="Garamond" w:cs="Garamond"/>
        </w:rPr>
        <w:t>PAD</w:t>
      </w:r>
      <w:r w:rsidR="0040055E" w:rsidRPr="0080605C">
        <w:rPr>
          <w:rFonts w:ascii="Garamond" w:eastAsia="Garamond" w:hAnsi="Garamond" w:cs="Garamond"/>
        </w:rPr>
        <w:t xml:space="preserve"> on grounds of both sovereignty and nonalienation, sovereignty alone </w:t>
      </w:r>
      <w:r w:rsidR="002372C6" w:rsidRPr="0080605C">
        <w:rPr>
          <w:rFonts w:ascii="Garamond" w:eastAsia="Garamond" w:hAnsi="Garamond" w:cs="Garamond"/>
        </w:rPr>
        <w:t xml:space="preserve">is </w:t>
      </w:r>
      <w:r w:rsidR="0040055E" w:rsidRPr="0080605C">
        <w:rPr>
          <w:rFonts w:ascii="Garamond" w:eastAsia="Garamond" w:hAnsi="Garamond" w:cs="Garamond"/>
        </w:rPr>
        <w:t xml:space="preserve">sufficient for a justification. </w:t>
      </w:r>
      <w:r w:rsidR="001B391D" w:rsidRPr="0080605C">
        <w:rPr>
          <w:rFonts w:ascii="Garamond" w:eastAsia="Garamond" w:hAnsi="Garamond" w:cs="Garamond"/>
        </w:rPr>
        <w:t>Next</w:t>
      </w:r>
      <w:r w:rsidR="0040055E" w:rsidRPr="0080605C">
        <w:rPr>
          <w:rFonts w:ascii="Garamond" w:eastAsia="Garamond" w:hAnsi="Garamond" w:cs="Garamond"/>
        </w:rPr>
        <w:t>, we</w:t>
      </w:r>
      <w:r w:rsidR="00AE3655">
        <w:rPr>
          <w:rFonts w:ascii="Garamond" w:eastAsia="Garamond" w:hAnsi="Garamond" w:cs="Garamond"/>
        </w:rPr>
        <w:t xml:space="preserve"> wi</w:t>
      </w:r>
      <w:r w:rsidR="0040055E" w:rsidRPr="0080605C">
        <w:rPr>
          <w:rFonts w:ascii="Garamond" w:eastAsia="Garamond" w:hAnsi="Garamond" w:cs="Garamond"/>
        </w:rPr>
        <w:t xml:space="preserve">ll consider whether, and when, surrogates </w:t>
      </w:r>
      <w:r w:rsidR="003F64F8" w:rsidRPr="0080605C">
        <w:rPr>
          <w:rFonts w:ascii="Garamond" w:eastAsia="Garamond" w:hAnsi="Garamond" w:cs="Garamond"/>
        </w:rPr>
        <w:t>whose only source of normative authority is patient nonalienation</w:t>
      </w:r>
      <w:r w:rsidR="0040055E" w:rsidRPr="0080605C">
        <w:rPr>
          <w:rFonts w:ascii="Garamond" w:eastAsia="Garamond" w:hAnsi="Garamond" w:cs="Garamond"/>
        </w:rPr>
        <w:t xml:space="preserve"> may </w:t>
      </w:r>
      <w:r w:rsidR="001B391D" w:rsidRPr="0080605C">
        <w:rPr>
          <w:rFonts w:ascii="Garamond" w:eastAsia="Garamond" w:hAnsi="Garamond" w:cs="Garamond"/>
        </w:rPr>
        <w:t>justifiably request</w:t>
      </w:r>
      <w:r w:rsidR="0040055E" w:rsidRPr="0080605C">
        <w:rPr>
          <w:rFonts w:ascii="Garamond" w:eastAsia="Garamond" w:hAnsi="Garamond" w:cs="Garamond"/>
        </w:rPr>
        <w:t xml:space="preserve"> </w:t>
      </w:r>
      <w:r w:rsidR="00843CB9" w:rsidRPr="0080605C">
        <w:rPr>
          <w:rFonts w:ascii="Garamond" w:eastAsia="Garamond" w:hAnsi="Garamond" w:cs="Garamond"/>
        </w:rPr>
        <w:t>PAD</w:t>
      </w:r>
      <w:r w:rsidR="0040055E" w:rsidRPr="0080605C">
        <w:rPr>
          <w:rFonts w:ascii="Garamond" w:eastAsia="Garamond" w:hAnsi="Garamond" w:cs="Garamond"/>
        </w:rPr>
        <w:t xml:space="preserve"> on behalf of incapacitated patients. </w:t>
      </w:r>
    </w:p>
    <w:p w14:paraId="0212E56D" w14:textId="77777777" w:rsidR="001B391D" w:rsidRPr="0080605C" w:rsidRDefault="001B391D" w:rsidP="00EA3155">
      <w:pPr>
        <w:widowControl w:val="0"/>
        <w:spacing w:line="480" w:lineRule="auto"/>
        <w:jc w:val="both"/>
        <w:rPr>
          <w:rFonts w:ascii="Garamond" w:eastAsia="Garamond" w:hAnsi="Garamond" w:cs="Garamond"/>
        </w:rPr>
      </w:pPr>
    </w:p>
    <w:p w14:paraId="0895B2C8" w14:textId="6D65DBF6" w:rsidR="00C90902" w:rsidRPr="0080605C" w:rsidRDefault="00F03753" w:rsidP="00EA3155">
      <w:pPr>
        <w:spacing w:line="480" w:lineRule="auto"/>
        <w:jc w:val="both"/>
        <w:outlineLvl w:val="0"/>
        <w:rPr>
          <w:rFonts w:ascii="Garamond" w:eastAsia="Times New Roman" w:hAnsi="Garamond" w:cs="Times New Roman"/>
          <w:b/>
        </w:rPr>
      </w:pPr>
      <w:r w:rsidRPr="0080605C">
        <w:rPr>
          <w:rFonts w:ascii="Garamond" w:eastAsia="Garamond" w:hAnsi="Garamond" w:cs="Garamond"/>
          <w:b/>
        </w:rPr>
        <w:t>Section 4.4</w:t>
      </w:r>
      <w:r w:rsidR="00C90902" w:rsidRPr="0080605C">
        <w:rPr>
          <w:rFonts w:ascii="Garamond" w:eastAsia="Garamond" w:hAnsi="Garamond" w:cs="Garamond"/>
          <w:b/>
        </w:rPr>
        <w:t>—State-Appointed Surrogates</w:t>
      </w:r>
    </w:p>
    <w:p w14:paraId="71F85F6C" w14:textId="2FB038CD" w:rsidR="00C90902" w:rsidRPr="00A43FD1" w:rsidRDefault="00C90902" w:rsidP="00EA3155">
      <w:pPr>
        <w:spacing w:line="480" w:lineRule="auto"/>
        <w:jc w:val="both"/>
        <w:rPr>
          <w:rFonts w:ascii="Garamond" w:eastAsia="Garamond" w:hAnsi="Garamond" w:cs="Garamond"/>
        </w:rPr>
      </w:pPr>
      <w:r w:rsidRPr="0080605C">
        <w:rPr>
          <w:rFonts w:ascii="Garamond" w:eastAsia="Garamond" w:hAnsi="Garamond" w:cs="Garamond"/>
        </w:rPr>
        <w:t xml:space="preserve">Most </w:t>
      </w:r>
      <w:r w:rsidR="003D6DF2" w:rsidRPr="0080605C">
        <w:rPr>
          <w:rFonts w:ascii="Garamond" w:eastAsia="Garamond" w:hAnsi="Garamond" w:cs="Garamond"/>
        </w:rPr>
        <w:t xml:space="preserve">adults </w:t>
      </w:r>
      <w:r w:rsidRPr="0080605C">
        <w:rPr>
          <w:rFonts w:ascii="Garamond" w:eastAsia="Garamond" w:hAnsi="Garamond" w:cs="Garamond"/>
        </w:rPr>
        <w:t>in the United States</w:t>
      </w:r>
      <w:r w:rsidR="00FB7315" w:rsidRPr="00993785">
        <w:rPr>
          <w:rStyle w:val="FootnoteReference"/>
          <w:rFonts w:ascii="Garamond" w:eastAsia="Garamond" w:hAnsi="Garamond" w:cs="Garamond"/>
        </w:rPr>
        <w:footnoteReference w:id="25"/>
      </w:r>
      <w:r w:rsidRPr="00993785">
        <w:rPr>
          <w:rFonts w:ascii="Garamond" w:eastAsia="Garamond" w:hAnsi="Garamond" w:cs="Garamond"/>
        </w:rPr>
        <w:t xml:space="preserve"> and Canada</w:t>
      </w:r>
      <w:r w:rsidR="00FB7315" w:rsidRPr="00993785">
        <w:rPr>
          <w:rFonts w:ascii="Garamond" w:eastAsia="Garamond" w:hAnsi="Garamond" w:cs="Garamond"/>
          <w:vertAlign w:val="superscript"/>
        </w:rPr>
        <w:footnoteReference w:id="26"/>
      </w:r>
      <w:r w:rsidRPr="00993785">
        <w:rPr>
          <w:rFonts w:ascii="Garamond" w:eastAsia="Garamond" w:hAnsi="Garamond" w:cs="Garamond"/>
        </w:rPr>
        <w:t xml:space="preserve"> do not have advance directives. And so, most surrogates are </w:t>
      </w:r>
      <w:r w:rsidR="004105A5" w:rsidRPr="00993785">
        <w:rPr>
          <w:rFonts w:ascii="Garamond" w:eastAsia="Garamond" w:hAnsi="Garamond" w:cs="Garamond"/>
        </w:rPr>
        <w:t>s</w:t>
      </w:r>
      <w:r w:rsidRPr="004A7411">
        <w:rPr>
          <w:rFonts w:ascii="Garamond" w:eastAsia="Garamond" w:hAnsi="Garamond" w:cs="Garamond"/>
        </w:rPr>
        <w:t>tate-</w:t>
      </w:r>
      <w:r w:rsidR="004105A5" w:rsidRPr="00E7629F">
        <w:rPr>
          <w:rFonts w:ascii="Garamond" w:eastAsia="Garamond" w:hAnsi="Garamond" w:cs="Garamond"/>
        </w:rPr>
        <w:t>a</w:t>
      </w:r>
      <w:r w:rsidRPr="0080605C">
        <w:rPr>
          <w:rFonts w:ascii="Garamond" w:eastAsia="Garamond" w:hAnsi="Garamond" w:cs="Garamond"/>
        </w:rPr>
        <w:t xml:space="preserve">ppointed. </w:t>
      </w:r>
      <w:r w:rsidR="003F64F8" w:rsidRPr="0080605C">
        <w:rPr>
          <w:rFonts w:ascii="Garamond" w:eastAsia="Garamond" w:hAnsi="Garamond" w:cs="Garamond"/>
        </w:rPr>
        <w:t>Since</w:t>
      </w:r>
      <w:r w:rsidRPr="0080605C">
        <w:rPr>
          <w:rFonts w:ascii="Garamond" w:eastAsia="Garamond" w:hAnsi="Garamond" w:cs="Garamond"/>
        </w:rPr>
        <w:t xml:space="preserve"> these surrogates have not been expressly appointed by the patient, we cannot justify their </w:t>
      </w:r>
      <w:r w:rsidR="008A2632" w:rsidRPr="00C4717A">
        <w:rPr>
          <w:rFonts w:ascii="Garamond" w:eastAsia="Garamond" w:hAnsi="Garamond" w:cs="Garamond"/>
        </w:rPr>
        <w:t>PAD requests</w:t>
      </w:r>
      <w:r w:rsidRPr="00C4717A">
        <w:rPr>
          <w:rFonts w:ascii="Garamond" w:eastAsia="Garamond" w:hAnsi="Garamond" w:cs="Garamond"/>
        </w:rPr>
        <w:t xml:space="preserve"> on grounds of patient sovereignty. Nevertheless, in cases where </w:t>
      </w:r>
      <w:r w:rsidR="00C26B5C" w:rsidRPr="005B1297">
        <w:rPr>
          <w:rFonts w:ascii="Garamond" w:eastAsia="Garamond" w:hAnsi="Garamond" w:cs="Garamond"/>
        </w:rPr>
        <w:t>stated-appointed</w:t>
      </w:r>
      <w:r w:rsidR="0040055E" w:rsidRPr="005B1297">
        <w:rPr>
          <w:rFonts w:ascii="Garamond" w:eastAsia="Garamond" w:hAnsi="Garamond" w:cs="Garamond"/>
        </w:rPr>
        <w:t xml:space="preserve"> </w:t>
      </w:r>
      <w:r w:rsidRPr="005B1297">
        <w:rPr>
          <w:rFonts w:ascii="Garamond" w:eastAsia="Garamond" w:hAnsi="Garamond" w:cs="Garamond"/>
        </w:rPr>
        <w:t xml:space="preserve">surrogates are closely related to the patient, the relationships that they typically share may enable them to act out of concern for patient nonalienation. </w:t>
      </w:r>
    </w:p>
    <w:p w14:paraId="607197FC" w14:textId="0B325519" w:rsidR="00C90902" w:rsidRPr="0080605C" w:rsidRDefault="00C90902" w:rsidP="00EA3155">
      <w:pPr>
        <w:spacing w:line="480" w:lineRule="auto"/>
        <w:jc w:val="both"/>
        <w:rPr>
          <w:rFonts w:ascii="Garamond" w:eastAsia="Garamond" w:hAnsi="Garamond" w:cs="Garamond"/>
        </w:rPr>
      </w:pPr>
      <w:r w:rsidRPr="00A43FD1">
        <w:rPr>
          <w:rFonts w:ascii="Garamond" w:eastAsia="Garamond" w:hAnsi="Garamond" w:cs="Garamond"/>
        </w:rPr>
        <w:tab/>
        <w:t xml:space="preserve">We have already considered some of the worries associated with this second source of normative authority in </w:t>
      </w:r>
      <w:r w:rsidRPr="001A26FE">
        <w:rPr>
          <w:rFonts w:ascii="Garamond" w:eastAsia="Garamond" w:hAnsi="Garamond" w:cs="Garamond"/>
          <w:b/>
        </w:rPr>
        <w:t>Section 4.3</w:t>
      </w:r>
      <w:r w:rsidRPr="002B5CD1">
        <w:rPr>
          <w:rFonts w:ascii="Garamond" w:eastAsia="Garamond" w:hAnsi="Garamond" w:cs="Garamond"/>
        </w:rPr>
        <w:t xml:space="preserve">, and found them to be unpersuasive. </w:t>
      </w:r>
      <w:r w:rsidR="0040055E" w:rsidRPr="002B5CD1">
        <w:rPr>
          <w:rFonts w:ascii="Garamond" w:eastAsia="Garamond" w:hAnsi="Garamond" w:cs="Garamond"/>
        </w:rPr>
        <w:t>Still</w:t>
      </w:r>
      <w:r w:rsidRPr="0080605C">
        <w:rPr>
          <w:rFonts w:ascii="Garamond" w:eastAsia="Garamond" w:hAnsi="Garamond" w:cs="Garamond"/>
        </w:rPr>
        <w:t xml:space="preserve">, one might contend that concerns about surrogates’ ability to act out of regard for patient nonalienation are heightened in cases where the patient has not expressly </w:t>
      </w:r>
      <w:r w:rsidR="0040055E" w:rsidRPr="0080605C">
        <w:rPr>
          <w:rFonts w:ascii="Garamond" w:eastAsia="Garamond" w:hAnsi="Garamond" w:cs="Garamond"/>
        </w:rPr>
        <w:t>appointed them</w:t>
      </w:r>
      <w:r w:rsidRPr="0080605C">
        <w:rPr>
          <w:rFonts w:ascii="Garamond" w:eastAsia="Garamond" w:hAnsi="Garamond" w:cs="Garamond"/>
        </w:rPr>
        <w:t xml:space="preserve"> as surrogates. We might worry, in other words, that a ‘concern for nonalienation’ only gives surrogate</w:t>
      </w:r>
      <w:r w:rsidR="0012736B" w:rsidRPr="0080605C">
        <w:rPr>
          <w:rFonts w:ascii="Garamond" w:eastAsia="Garamond" w:hAnsi="Garamond" w:cs="Garamond"/>
        </w:rPr>
        <w:t xml:space="preserve"> decision</w:t>
      </w:r>
      <w:r w:rsidR="00AE3655">
        <w:rPr>
          <w:rFonts w:ascii="Garamond" w:eastAsia="Garamond" w:hAnsi="Garamond" w:cs="Garamond"/>
        </w:rPr>
        <w:t xml:space="preserve"> </w:t>
      </w:r>
      <w:r w:rsidR="0012736B" w:rsidRPr="0080605C">
        <w:rPr>
          <w:rFonts w:ascii="Garamond" w:eastAsia="Garamond" w:hAnsi="Garamond" w:cs="Garamond"/>
        </w:rPr>
        <w:t xml:space="preserve">makers </w:t>
      </w:r>
      <w:r w:rsidRPr="0080605C">
        <w:rPr>
          <w:rFonts w:ascii="Garamond" w:eastAsia="Garamond" w:hAnsi="Garamond" w:cs="Garamond"/>
        </w:rPr>
        <w:t xml:space="preserve">normative authority </w:t>
      </w:r>
      <w:r w:rsidR="003F64F8" w:rsidRPr="0080605C">
        <w:rPr>
          <w:rFonts w:ascii="Garamond" w:eastAsia="Garamond" w:hAnsi="Garamond" w:cs="Garamond"/>
        </w:rPr>
        <w:t>when</w:t>
      </w:r>
      <w:r w:rsidRPr="0080605C">
        <w:rPr>
          <w:rFonts w:ascii="Garamond" w:eastAsia="Garamond" w:hAnsi="Garamond" w:cs="Garamond"/>
        </w:rPr>
        <w:t xml:space="preserve"> they </w:t>
      </w:r>
      <w:r w:rsidR="003F64F8" w:rsidRPr="0080605C">
        <w:rPr>
          <w:rFonts w:ascii="Garamond" w:eastAsia="Garamond" w:hAnsi="Garamond" w:cs="Garamond"/>
        </w:rPr>
        <w:t xml:space="preserve">also have </w:t>
      </w:r>
      <w:r w:rsidRPr="0080605C">
        <w:rPr>
          <w:rFonts w:ascii="Garamond" w:eastAsia="Garamond" w:hAnsi="Garamond" w:cs="Garamond"/>
        </w:rPr>
        <w:t xml:space="preserve">normative authority </w:t>
      </w:r>
      <w:r w:rsidRPr="0080605C">
        <w:rPr>
          <w:rFonts w:ascii="Garamond" w:eastAsia="Garamond" w:hAnsi="Garamond" w:cs="Garamond"/>
          <w:i/>
        </w:rPr>
        <w:t xml:space="preserve">qua </w:t>
      </w:r>
      <w:r w:rsidRPr="0080605C">
        <w:rPr>
          <w:rFonts w:ascii="Garamond" w:eastAsia="Garamond" w:hAnsi="Garamond" w:cs="Garamond"/>
        </w:rPr>
        <w:t xml:space="preserve">patient sovereignty. </w:t>
      </w:r>
    </w:p>
    <w:p w14:paraId="00E0922A" w14:textId="40197D70" w:rsidR="00C90902" w:rsidRPr="0080605C" w:rsidRDefault="00C90902" w:rsidP="00EA3155">
      <w:pPr>
        <w:widowControl w:val="0"/>
        <w:spacing w:line="480" w:lineRule="auto"/>
        <w:jc w:val="both"/>
        <w:rPr>
          <w:rFonts w:ascii="Garamond" w:eastAsia="Garamond" w:hAnsi="Garamond" w:cs="Garamond"/>
        </w:rPr>
      </w:pPr>
      <w:r w:rsidRPr="0080605C">
        <w:rPr>
          <w:rFonts w:ascii="Garamond" w:eastAsia="Garamond" w:hAnsi="Garamond" w:cs="Garamond"/>
        </w:rPr>
        <w:t xml:space="preserve"> </w:t>
      </w:r>
      <w:r w:rsidRPr="0080605C">
        <w:rPr>
          <w:rFonts w:ascii="Garamond" w:eastAsia="Garamond" w:hAnsi="Garamond" w:cs="Garamond"/>
        </w:rPr>
        <w:tab/>
        <w:t xml:space="preserve">To respond, note that we have a strong social presumption in favor of letting our close kin make decisions for us in cases of our impairment or death. That this social practice is ubiquitous gives us reason to think that patients have tacitly consented to it, absent advance directives specifying otherwise. We already take this tacit consent to be sufficient to justify </w:t>
      </w:r>
      <w:r w:rsidR="00877269" w:rsidRPr="0080605C">
        <w:rPr>
          <w:rFonts w:ascii="Garamond" w:eastAsia="Garamond" w:hAnsi="Garamond" w:cs="Garamond"/>
        </w:rPr>
        <w:t xml:space="preserve">the current widespread practice of allowing </w:t>
      </w:r>
      <w:r w:rsidR="0012736B" w:rsidRPr="0080605C">
        <w:rPr>
          <w:rFonts w:ascii="Garamond" w:eastAsia="Garamond" w:hAnsi="Garamond" w:cs="Garamond"/>
        </w:rPr>
        <w:t>state-appointed, familiar</w:t>
      </w:r>
      <w:r w:rsidRPr="0080605C">
        <w:rPr>
          <w:rFonts w:ascii="Garamond" w:eastAsia="Garamond" w:hAnsi="Garamond" w:cs="Garamond"/>
        </w:rPr>
        <w:t xml:space="preserve"> surrogates </w:t>
      </w:r>
      <w:r w:rsidR="00877269" w:rsidRPr="0080605C">
        <w:rPr>
          <w:rFonts w:ascii="Garamond" w:eastAsia="Garamond" w:hAnsi="Garamond" w:cs="Garamond"/>
        </w:rPr>
        <w:t>to waive</w:t>
      </w:r>
      <w:r w:rsidRPr="0080605C">
        <w:rPr>
          <w:rFonts w:ascii="Garamond" w:eastAsia="Garamond" w:hAnsi="Garamond" w:cs="Garamond"/>
        </w:rPr>
        <w:t xml:space="preserve"> a number of seriously weighty rights on behalf </w:t>
      </w:r>
      <w:r w:rsidRPr="0080605C">
        <w:rPr>
          <w:rFonts w:ascii="Garamond" w:eastAsia="Garamond" w:hAnsi="Garamond" w:cs="Garamond"/>
        </w:rPr>
        <w:lastRenderedPageBreak/>
        <w:t>of patients. An unwillingness to grant surrogate decision</w:t>
      </w:r>
      <w:r w:rsidR="00AE3655">
        <w:rPr>
          <w:rFonts w:ascii="Garamond" w:eastAsia="Garamond" w:hAnsi="Garamond" w:cs="Garamond"/>
        </w:rPr>
        <w:t xml:space="preserve"> </w:t>
      </w:r>
      <w:r w:rsidRPr="0080605C">
        <w:rPr>
          <w:rFonts w:ascii="Garamond" w:eastAsia="Garamond" w:hAnsi="Garamond" w:cs="Garamond"/>
        </w:rPr>
        <w:t xml:space="preserve">makers this further power would </w:t>
      </w:r>
      <w:r w:rsidR="004105A5" w:rsidRPr="0080605C">
        <w:rPr>
          <w:rFonts w:ascii="Garamond" w:eastAsia="Garamond" w:hAnsi="Garamond" w:cs="Garamond"/>
        </w:rPr>
        <w:t xml:space="preserve">thus </w:t>
      </w:r>
      <w:r w:rsidRPr="0080605C">
        <w:rPr>
          <w:rFonts w:ascii="Garamond" w:eastAsia="Garamond" w:hAnsi="Garamond" w:cs="Garamond"/>
        </w:rPr>
        <w:t xml:space="preserve">be at odds </w:t>
      </w:r>
      <w:r w:rsidR="00AE3655">
        <w:rPr>
          <w:rFonts w:ascii="Garamond" w:eastAsia="Garamond" w:hAnsi="Garamond" w:cs="Garamond"/>
        </w:rPr>
        <w:t xml:space="preserve">with </w:t>
      </w:r>
      <w:r w:rsidRPr="0080605C">
        <w:rPr>
          <w:rFonts w:ascii="Garamond" w:eastAsia="Garamond" w:hAnsi="Garamond" w:cs="Garamond"/>
        </w:rPr>
        <w:t xml:space="preserve">current practice surrounding their decisional authority.  </w:t>
      </w:r>
    </w:p>
    <w:p w14:paraId="6BAE5F03" w14:textId="73F1BF31" w:rsidR="00811E95" w:rsidRPr="00993785" w:rsidRDefault="00C90902" w:rsidP="00EA3155">
      <w:pPr>
        <w:spacing w:line="480" w:lineRule="auto"/>
        <w:jc w:val="both"/>
        <w:rPr>
          <w:rFonts w:ascii="Garamond" w:eastAsia="Garamond" w:hAnsi="Garamond" w:cs="Garamond"/>
        </w:rPr>
      </w:pPr>
      <w:r w:rsidRPr="0080605C">
        <w:rPr>
          <w:rFonts w:ascii="Garamond" w:eastAsia="Garamond" w:hAnsi="Garamond" w:cs="Garamond"/>
        </w:rPr>
        <w:tab/>
        <w:t xml:space="preserve">What about </w:t>
      </w:r>
      <w:r w:rsidR="0012736B" w:rsidRPr="0080605C">
        <w:rPr>
          <w:rFonts w:ascii="Garamond" w:eastAsia="Garamond" w:hAnsi="Garamond" w:cs="Garamond"/>
        </w:rPr>
        <w:t>state-appointed</w:t>
      </w:r>
      <w:r w:rsidRPr="0080605C">
        <w:rPr>
          <w:rFonts w:ascii="Garamond" w:eastAsia="Garamond" w:hAnsi="Garamond" w:cs="Garamond"/>
        </w:rPr>
        <w:t xml:space="preserve"> surrogates who </w:t>
      </w:r>
      <w:r w:rsidR="00AA375F" w:rsidRPr="0080605C">
        <w:rPr>
          <w:rFonts w:ascii="Garamond" w:eastAsia="Garamond" w:hAnsi="Garamond" w:cs="Garamond"/>
        </w:rPr>
        <w:t>do not</w:t>
      </w:r>
      <w:r w:rsidRPr="0080605C">
        <w:rPr>
          <w:rFonts w:ascii="Garamond" w:eastAsia="Garamond" w:hAnsi="Garamond" w:cs="Garamond"/>
        </w:rPr>
        <w:t xml:space="preserve"> share close relationships with, or even personally know, the patient? The case for their normative authority is much weaker than any of the other cases considered above. Since they were not appointed by the patient, we do not have reasons relating to patient sovereignty to respect their requests. Further, since they will rarely have direct evidence of what the patient values, we have much less reason to assume that </w:t>
      </w:r>
      <w:r w:rsidR="003F64F8" w:rsidRPr="0080605C">
        <w:rPr>
          <w:rFonts w:ascii="Garamond" w:eastAsia="Garamond" w:hAnsi="Garamond" w:cs="Garamond"/>
        </w:rPr>
        <w:t>they</w:t>
      </w:r>
      <w:r w:rsidRPr="0080605C">
        <w:rPr>
          <w:rFonts w:ascii="Garamond" w:eastAsia="Garamond" w:hAnsi="Garamond" w:cs="Garamond"/>
        </w:rPr>
        <w:t xml:space="preserve"> are capable of showing genuine concern for their patient’s nonalienation.</w:t>
      </w:r>
      <w:r w:rsidRPr="00993785">
        <w:rPr>
          <w:rStyle w:val="FootnoteReference"/>
          <w:rFonts w:ascii="Garamond" w:eastAsia="Garamond" w:hAnsi="Garamond" w:cs="Garamond"/>
        </w:rPr>
        <w:footnoteReference w:id="27"/>
      </w:r>
      <w:r w:rsidRPr="00993785">
        <w:rPr>
          <w:rFonts w:ascii="Garamond" w:eastAsia="Garamond" w:hAnsi="Garamond" w:cs="Garamond"/>
        </w:rPr>
        <w:t xml:space="preserve"> That </w:t>
      </w:r>
      <w:r w:rsidR="00843CB9" w:rsidRPr="00993785">
        <w:rPr>
          <w:rFonts w:ascii="Garamond" w:eastAsia="Garamond" w:hAnsi="Garamond" w:cs="Garamond"/>
        </w:rPr>
        <w:t>PAD</w:t>
      </w:r>
      <w:r w:rsidRPr="00993785">
        <w:rPr>
          <w:rFonts w:ascii="Garamond" w:eastAsia="Garamond" w:hAnsi="Garamond" w:cs="Garamond"/>
        </w:rPr>
        <w:t xml:space="preserve"> requests made by </w:t>
      </w:r>
      <w:r w:rsidR="0012736B" w:rsidRPr="00993785">
        <w:rPr>
          <w:rFonts w:ascii="Garamond" w:eastAsia="Garamond" w:hAnsi="Garamond" w:cs="Garamond"/>
        </w:rPr>
        <w:t>state-appointed, unfamiliar</w:t>
      </w:r>
      <w:r w:rsidRPr="00993785">
        <w:rPr>
          <w:rFonts w:ascii="Garamond" w:eastAsia="Garamond" w:hAnsi="Garamond" w:cs="Garamond"/>
        </w:rPr>
        <w:t xml:space="preserve"> surrogates may not be justifiable on either grounds of patient sovereignty or patient nonalienation makes </w:t>
      </w:r>
      <w:r w:rsidR="0012736B" w:rsidRPr="00993785">
        <w:rPr>
          <w:rFonts w:ascii="Garamond" w:eastAsia="Garamond" w:hAnsi="Garamond" w:cs="Garamond"/>
        </w:rPr>
        <w:t>surrogate-requested</w:t>
      </w:r>
      <w:r w:rsidRPr="00993785">
        <w:rPr>
          <w:rFonts w:ascii="Garamond" w:eastAsia="Garamond" w:hAnsi="Garamond" w:cs="Garamond"/>
        </w:rPr>
        <w:t xml:space="preserve"> </w:t>
      </w:r>
      <w:r w:rsidR="00843CB9" w:rsidRPr="00993785">
        <w:rPr>
          <w:rFonts w:ascii="Garamond" w:eastAsia="Garamond" w:hAnsi="Garamond" w:cs="Garamond"/>
        </w:rPr>
        <w:t>PAD</w:t>
      </w:r>
      <w:r w:rsidRPr="00993785">
        <w:rPr>
          <w:rFonts w:ascii="Garamond" w:eastAsia="Garamond" w:hAnsi="Garamond" w:cs="Garamond"/>
        </w:rPr>
        <w:t xml:space="preserve"> far riskier in these cases. The heightened risks associated with these surrogates, coupled with their relative lack of normative authority, provides strong reason against legalizing </w:t>
      </w:r>
      <w:r w:rsidR="00843CB9" w:rsidRPr="00993785">
        <w:rPr>
          <w:rFonts w:ascii="Garamond" w:eastAsia="Garamond" w:hAnsi="Garamond" w:cs="Garamond"/>
        </w:rPr>
        <w:t>PAD</w:t>
      </w:r>
      <w:r w:rsidR="005B29A1" w:rsidRPr="00993785">
        <w:rPr>
          <w:rFonts w:ascii="Garamond" w:eastAsia="Garamond" w:hAnsi="Garamond" w:cs="Garamond"/>
        </w:rPr>
        <w:t xml:space="preserve"> under those circumstances</w:t>
      </w:r>
      <w:r w:rsidRPr="00993785">
        <w:rPr>
          <w:rFonts w:ascii="Garamond" w:eastAsia="Garamond" w:hAnsi="Garamond" w:cs="Garamond"/>
        </w:rPr>
        <w:t xml:space="preserve">. </w:t>
      </w:r>
    </w:p>
    <w:p w14:paraId="19409BEE" w14:textId="77777777" w:rsidR="00137DFE" w:rsidRPr="00C4717A" w:rsidRDefault="00137DFE" w:rsidP="00EA3155">
      <w:pPr>
        <w:spacing w:line="480" w:lineRule="auto"/>
        <w:jc w:val="both"/>
        <w:rPr>
          <w:rFonts w:ascii="Garamond" w:eastAsia="Garamond" w:hAnsi="Garamond" w:cs="Garamond"/>
        </w:rPr>
      </w:pPr>
    </w:p>
    <w:p w14:paraId="4DFD5B07" w14:textId="3FA302C7" w:rsidR="00E91839" w:rsidRPr="005B1297" w:rsidRDefault="000D2237" w:rsidP="00EA3155">
      <w:pPr>
        <w:spacing w:line="480" w:lineRule="auto"/>
        <w:jc w:val="both"/>
        <w:outlineLvl w:val="0"/>
        <w:rPr>
          <w:rFonts w:ascii="Garamond" w:eastAsia="Garamond" w:hAnsi="Garamond" w:cs="Garamond"/>
          <w:b/>
          <w:sz w:val="28"/>
          <w:szCs w:val="28"/>
        </w:rPr>
      </w:pPr>
      <w:r w:rsidRPr="005B1297">
        <w:rPr>
          <w:rFonts w:ascii="Garamond" w:eastAsia="Garamond" w:hAnsi="Garamond" w:cs="Garamond"/>
          <w:b/>
          <w:sz w:val="28"/>
          <w:szCs w:val="28"/>
        </w:rPr>
        <w:t>Conclusion</w:t>
      </w:r>
    </w:p>
    <w:p w14:paraId="0B99FB9B" w14:textId="11AAEADB" w:rsidR="00E91839" w:rsidRPr="0080605C" w:rsidRDefault="000D2237" w:rsidP="00EA3155">
      <w:pPr>
        <w:spacing w:line="480" w:lineRule="auto"/>
        <w:jc w:val="both"/>
        <w:rPr>
          <w:rFonts w:ascii="Garamond" w:eastAsia="Garamond" w:hAnsi="Garamond" w:cs="Garamond"/>
          <w:color w:val="000000"/>
        </w:rPr>
      </w:pPr>
      <w:r w:rsidRPr="005B1297">
        <w:rPr>
          <w:rFonts w:ascii="Garamond" w:eastAsia="Garamond" w:hAnsi="Garamond" w:cs="Garamond"/>
          <w:color w:val="000000"/>
        </w:rPr>
        <w:t xml:space="preserve">This paper has argued that patients need not </w:t>
      </w:r>
      <w:r w:rsidR="00427F2E">
        <w:rPr>
          <w:rFonts w:ascii="Garamond" w:eastAsia="Garamond" w:hAnsi="Garamond" w:cs="Garamond"/>
          <w:color w:val="000000"/>
        </w:rPr>
        <w:t xml:space="preserve">presently </w:t>
      </w:r>
      <w:r w:rsidRPr="005B1297">
        <w:rPr>
          <w:rFonts w:ascii="Garamond" w:eastAsia="Garamond" w:hAnsi="Garamond" w:cs="Garamond"/>
          <w:color w:val="000000"/>
        </w:rPr>
        <w:t>be competent</w:t>
      </w:r>
      <w:r w:rsidR="003D51B5" w:rsidRPr="00A43FD1">
        <w:rPr>
          <w:rFonts w:ascii="Garamond" w:eastAsia="Garamond" w:hAnsi="Garamond" w:cs="Garamond"/>
          <w:color w:val="000000"/>
        </w:rPr>
        <w:t xml:space="preserve"> when</w:t>
      </w:r>
      <w:r w:rsidRPr="00A43FD1">
        <w:rPr>
          <w:rFonts w:ascii="Garamond" w:eastAsia="Garamond" w:hAnsi="Garamond" w:cs="Garamond"/>
          <w:color w:val="000000"/>
        </w:rPr>
        <w:t xml:space="preserve"> they </w:t>
      </w:r>
      <w:r w:rsidR="00E54957" w:rsidRPr="00A43FD1">
        <w:rPr>
          <w:rFonts w:ascii="Garamond" w:eastAsia="Garamond" w:hAnsi="Garamond" w:cs="Garamond"/>
          <w:color w:val="000000"/>
        </w:rPr>
        <w:t>receive</w:t>
      </w:r>
      <w:r w:rsidRPr="00A43FD1">
        <w:rPr>
          <w:rFonts w:ascii="Garamond" w:eastAsia="Garamond" w:hAnsi="Garamond" w:cs="Garamond"/>
          <w:color w:val="000000"/>
        </w:rPr>
        <w:t xml:space="preserve"> </w:t>
      </w:r>
      <w:r w:rsidR="00843CB9" w:rsidRPr="001A26FE">
        <w:rPr>
          <w:rFonts w:ascii="Garamond" w:eastAsia="Garamond" w:hAnsi="Garamond" w:cs="Garamond"/>
          <w:color w:val="000000"/>
        </w:rPr>
        <w:t>PAD</w:t>
      </w:r>
      <w:r w:rsidRPr="002B5CD1">
        <w:rPr>
          <w:rFonts w:ascii="Garamond" w:eastAsia="Garamond" w:hAnsi="Garamond" w:cs="Garamond"/>
          <w:color w:val="000000"/>
        </w:rPr>
        <w:t>. More specifically, we aimed to establish two claims:</w:t>
      </w:r>
    </w:p>
    <w:p w14:paraId="2D56178A" w14:textId="7E3C227B" w:rsidR="00E91839" w:rsidRPr="0080605C" w:rsidRDefault="000D2237" w:rsidP="00EA3155">
      <w:pPr>
        <w:ind w:left="720"/>
        <w:jc w:val="both"/>
        <w:rPr>
          <w:rFonts w:ascii="Garamond" w:eastAsia="Garamond" w:hAnsi="Garamond" w:cs="Garamond"/>
          <w:color w:val="000000"/>
        </w:rPr>
      </w:pPr>
      <w:r w:rsidRPr="0080605C">
        <w:rPr>
          <w:rFonts w:ascii="Garamond" w:eastAsia="Garamond" w:hAnsi="Garamond" w:cs="Garamond"/>
          <w:b/>
          <w:smallCaps/>
        </w:rPr>
        <w:t xml:space="preserve">Legal </w:t>
      </w:r>
      <w:r w:rsidR="00421EA6" w:rsidRPr="0080605C">
        <w:rPr>
          <w:rFonts w:ascii="Garamond" w:eastAsia="Garamond" w:hAnsi="Garamond" w:cs="Garamond"/>
          <w:b/>
          <w:smallCaps/>
        </w:rPr>
        <w:t xml:space="preserve">Advance </w:t>
      </w:r>
      <w:r w:rsidR="00843CB9" w:rsidRPr="0080605C">
        <w:rPr>
          <w:rFonts w:ascii="Garamond" w:eastAsia="Garamond" w:hAnsi="Garamond" w:cs="Garamond"/>
          <w:b/>
          <w:smallCaps/>
        </w:rPr>
        <w:t>PAD</w:t>
      </w:r>
      <w:r w:rsidRPr="0080605C">
        <w:rPr>
          <w:rFonts w:ascii="Garamond" w:eastAsia="Garamond" w:hAnsi="Garamond" w:cs="Garamond"/>
        </w:rPr>
        <w:t>:</w:t>
      </w:r>
      <w:r w:rsidRPr="0080605C">
        <w:rPr>
          <w:rFonts w:ascii="Garamond" w:eastAsia="Garamond" w:hAnsi="Garamond" w:cs="Garamond"/>
          <w:b/>
        </w:rPr>
        <w:t xml:space="preserve"> </w:t>
      </w:r>
      <w:r w:rsidRPr="0080605C">
        <w:rPr>
          <w:rFonts w:ascii="Garamond" w:eastAsia="Garamond" w:hAnsi="Garamond" w:cs="Garamond"/>
          <w:color w:val="000000"/>
        </w:rPr>
        <w:t xml:space="preserve">In many circumstances, it should be legal for doctors </w:t>
      </w:r>
      <w:r w:rsidRPr="0080605C">
        <w:rPr>
          <w:rFonts w:ascii="Garamond" w:eastAsia="Garamond" w:hAnsi="Garamond" w:cs="Garamond"/>
        </w:rPr>
        <w:t>to</w:t>
      </w:r>
      <w:r w:rsidRPr="0080605C">
        <w:rPr>
          <w:rFonts w:ascii="Garamond" w:eastAsia="Garamond" w:hAnsi="Garamond" w:cs="Garamond"/>
          <w:color w:val="000000"/>
        </w:rPr>
        <w:t xml:space="preserve"> </w:t>
      </w:r>
      <w:r w:rsidRPr="0080605C">
        <w:rPr>
          <w:rFonts w:ascii="Garamond" w:eastAsia="Garamond" w:hAnsi="Garamond" w:cs="Garamond"/>
        </w:rPr>
        <w:t xml:space="preserve">provide </w:t>
      </w:r>
      <w:r w:rsidR="00843CB9" w:rsidRPr="0080605C">
        <w:rPr>
          <w:rFonts w:ascii="Garamond" w:eastAsia="Garamond" w:hAnsi="Garamond" w:cs="Garamond"/>
        </w:rPr>
        <w:t>PAD</w:t>
      </w:r>
      <w:r w:rsidRPr="0080605C">
        <w:rPr>
          <w:rFonts w:ascii="Garamond" w:eastAsia="Garamond" w:hAnsi="Garamond" w:cs="Garamond"/>
        </w:rPr>
        <w:t xml:space="preserve"> to </w:t>
      </w:r>
      <w:r w:rsidR="00366CB8" w:rsidRPr="0080605C">
        <w:rPr>
          <w:rFonts w:ascii="Garamond" w:eastAsia="Garamond" w:hAnsi="Garamond" w:cs="Garamond"/>
        </w:rPr>
        <w:t xml:space="preserve">terminally ill, </w:t>
      </w:r>
      <w:r w:rsidRPr="0080605C">
        <w:rPr>
          <w:rFonts w:ascii="Garamond" w:eastAsia="Garamond" w:hAnsi="Garamond" w:cs="Garamond"/>
        </w:rPr>
        <w:t xml:space="preserve">mentally incapacitated patients with advance directives requesting it. </w:t>
      </w:r>
    </w:p>
    <w:p w14:paraId="5AD1E5BE" w14:textId="77777777" w:rsidR="00E91839" w:rsidRPr="0080605C" w:rsidRDefault="00E91839" w:rsidP="00EA3155">
      <w:pPr>
        <w:ind w:left="1440" w:hanging="720"/>
        <w:jc w:val="both"/>
        <w:rPr>
          <w:rFonts w:ascii="Garamond" w:eastAsia="Garamond" w:hAnsi="Garamond" w:cs="Garamond"/>
        </w:rPr>
      </w:pPr>
    </w:p>
    <w:p w14:paraId="41679758" w14:textId="2CEE1964" w:rsidR="00E91839" w:rsidRPr="0080605C" w:rsidRDefault="000D2237" w:rsidP="00EA3155">
      <w:pPr>
        <w:ind w:left="720"/>
        <w:jc w:val="both"/>
        <w:rPr>
          <w:rFonts w:ascii="Garamond" w:eastAsia="Times New Roman" w:hAnsi="Garamond" w:cs="Times New Roman"/>
        </w:rPr>
      </w:pPr>
      <w:r w:rsidRPr="0080605C">
        <w:rPr>
          <w:rFonts w:ascii="Garamond" w:eastAsia="Garamond" w:hAnsi="Garamond" w:cs="Garamond"/>
          <w:b/>
          <w:smallCaps/>
        </w:rPr>
        <w:t xml:space="preserve">Legal </w:t>
      </w:r>
      <w:r w:rsidR="00421EA6" w:rsidRPr="0080605C">
        <w:rPr>
          <w:rFonts w:ascii="Garamond" w:eastAsia="Garamond" w:hAnsi="Garamond" w:cs="Garamond"/>
          <w:b/>
          <w:smallCaps/>
        </w:rPr>
        <w:t xml:space="preserve">Surrogate </w:t>
      </w:r>
      <w:r w:rsidR="00843CB9" w:rsidRPr="0080605C">
        <w:rPr>
          <w:rFonts w:ascii="Garamond" w:eastAsia="Garamond" w:hAnsi="Garamond" w:cs="Garamond"/>
          <w:b/>
          <w:smallCaps/>
        </w:rPr>
        <w:t>PAD</w:t>
      </w:r>
      <w:r w:rsidRPr="0080605C">
        <w:rPr>
          <w:rFonts w:ascii="Garamond" w:eastAsia="Garamond" w:hAnsi="Garamond" w:cs="Garamond"/>
        </w:rPr>
        <w:t xml:space="preserve">: </w:t>
      </w:r>
      <w:r w:rsidRPr="0080605C">
        <w:rPr>
          <w:rFonts w:ascii="Garamond" w:eastAsia="Garamond" w:hAnsi="Garamond" w:cs="Garamond"/>
          <w:color w:val="000000"/>
        </w:rPr>
        <w:t xml:space="preserve"> In many circumstances, it should be legal for</w:t>
      </w:r>
      <w:r w:rsidRPr="0080605C">
        <w:rPr>
          <w:rFonts w:ascii="Garamond" w:eastAsia="Garamond" w:hAnsi="Garamond" w:cs="Garamond"/>
        </w:rPr>
        <w:t xml:space="preserve"> </w:t>
      </w:r>
      <w:r w:rsidRPr="0080605C">
        <w:rPr>
          <w:rFonts w:ascii="Garamond" w:eastAsia="Garamond" w:hAnsi="Garamond" w:cs="Garamond"/>
          <w:color w:val="000000"/>
        </w:rPr>
        <w:t xml:space="preserve">doctors </w:t>
      </w:r>
      <w:r w:rsidRPr="0080605C">
        <w:rPr>
          <w:rFonts w:ascii="Garamond" w:eastAsia="Garamond" w:hAnsi="Garamond" w:cs="Garamond"/>
        </w:rPr>
        <w:t>to</w:t>
      </w:r>
      <w:r w:rsidRPr="0080605C">
        <w:rPr>
          <w:rFonts w:ascii="Garamond" w:eastAsia="Garamond" w:hAnsi="Garamond" w:cs="Garamond"/>
          <w:color w:val="000000"/>
        </w:rPr>
        <w:t xml:space="preserve"> </w:t>
      </w:r>
      <w:r w:rsidRPr="0080605C">
        <w:rPr>
          <w:rFonts w:ascii="Garamond" w:eastAsia="Garamond" w:hAnsi="Garamond" w:cs="Garamond"/>
        </w:rPr>
        <w:t xml:space="preserve">provide </w:t>
      </w:r>
      <w:r w:rsidR="00843CB9" w:rsidRPr="0080605C">
        <w:rPr>
          <w:rFonts w:ascii="Garamond" w:eastAsia="Garamond" w:hAnsi="Garamond" w:cs="Garamond"/>
        </w:rPr>
        <w:t>PAD</w:t>
      </w:r>
      <w:r w:rsidRPr="0080605C">
        <w:rPr>
          <w:rFonts w:ascii="Garamond" w:eastAsia="Garamond" w:hAnsi="Garamond" w:cs="Garamond"/>
          <w:color w:val="000000"/>
        </w:rPr>
        <w:t xml:space="preserve"> to </w:t>
      </w:r>
      <w:r w:rsidR="00366CB8" w:rsidRPr="0080605C">
        <w:rPr>
          <w:rFonts w:ascii="Garamond" w:eastAsia="Garamond" w:hAnsi="Garamond" w:cs="Garamond"/>
          <w:color w:val="000000"/>
        </w:rPr>
        <w:t xml:space="preserve">terminally ill, </w:t>
      </w:r>
      <w:r w:rsidRPr="0080605C">
        <w:rPr>
          <w:rFonts w:ascii="Garamond" w:eastAsia="Garamond" w:hAnsi="Garamond" w:cs="Garamond"/>
          <w:color w:val="000000"/>
        </w:rPr>
        <w:t>mentally in</w:t>
      </w:r>
      <w:r w:rsidRPr="0080605C">
        <w:rPr>
          <w:rFonts w:ascii="Garamond" w:eastAsia="Garamond" w:hAnsi="Garamond" w:cs="Garamond"/>
        </w:rPr>
        <w:t>capacitated patients whose surrogate decision</w:t>
      </w:r>
      <w:r w:rsidR="00482C1F">
        <w:rPr>
          <w:rFonts w:ascii="Garamond" w:eastAsia="Garamond" w:hAnsi="Garamond" w:cs="Garamond"/>
        </w:rPr>
        <w:t xml:space="preserve"> </w:t>
      </w:r>
      <w:r w:rsidRPr="0080605C">
        <w:rPr>
          <w:rFonts w:ascii="Garamond" w:eastAsia="Garamond" w:hAnsi="Garamond" w:cs="Garamond"/>
        </w:rPr>
        <w:t xml:space="preserve">makers request it. </w:t>
      </w:r>
    </w:p>
    <w:p w14:paraId="3E25E555" w14:textId="77777777" w:rsidR="00E91839" w:rsidRPr="0080605C" w:rsidRDefault="00E91839" w:rsidP="00EA3155">
      <w:pPr>
        <w:jc w:val="both"/>
        <w:rPr>
          <w:rFonts w:ascii="Garamond" w:eastAsia="Times New Roman" w:hAnsi="Garamond" w:cs="Times New Roman"/>
        </w:rPr>
      </w:pPr>
    </w:p>
    <w:p w14:paraId="4EDBC9F7" w14:textId="663FE2BF" w:rsidR="00E91839" w:rsidRPr="0080605C" w:rsidRDefault="000D2237" w:rsidP="00EA3155">
      <w:pPr>
        <w:spacing w:line="480" w:lineRule="auto"/>
        <w:jc w:val="both"/>
        <w:rPr>
          <w:rFonts w:ascii="Garamond" w:eastAsia="Garamond" w:hAnsi="Garamond" w:cs="Garamond"/>
          <w:color w:val="000000"/>
        </w:rPr>
      </w:pPr>
      <w:r w:rsidRPr="0080605C">
        <w:rPr>
          <w:rFonts w:ascii="Garamond" w:eastAsia="Garamond" w:hAnsi="Garamond" w:cs="Garamond"/>
          <w:color w:val="000000"/>
        </w:rPr>
        <w:lastRenderedPageBreak/>
        <w:t xml:space="preserve">We first argued that, unless we </w:t>
      </w:r>
      <w:r w:rsidR="004105A5" w:rsidRPr="0080605C">
        <w:rPr>
          <w:rFonts w:ascii="Garamond" w:eastAsia="Garamond" w:hAnsi="Garamond" w:cs="Garamond"/>
          <w:color w:val="000000"/>
        </w:rPr>
        <w:t xml:space="preserve">are willing to </w:t>
      </w:r>
      <w:r w:rsidR="004260C3" w:rsidRPr="0080605C">
        <w:rPr>
          <w:rFonts w:ascii="Garamond" w:eastAsia="Garamond" w:hAnsi="Garamond" w:cs="Garamond"/>
          <w:color w:val="000000"/>
        </w:rPr>
        <w:t xml:space="preserve">deny </w:t>
      </w:r>
      <w:r w:rsidR="00427F2E">
        <w:rPr>
          <w:rFonts w:ascii="Garamond" w:eastAsia="Garamond" w:hAnsi="Garamond" w:cs="Garamond"/>
          <w:color w:val="000000"/>
        </w:rPr>
        <w:t>the permissibility of</w:t>
      </w:r>
      <w:r w:rsidR="00427F2E" w:rsidRPr="0080605C">
        <w:rPr>
          <w:rFonts w:ascii="Garamond" w:eastAsia="Garamond" w:hAnsi="Garamond" w:cs="Garamond"/>
          <w:color w:val="000000"/>
        </w:rPr>
        <w:t xml:space="preserve"> </w:t>
      </w:r>
      <w:r w:rsidRPr="0080605C">
        <w:rPr>
          <w:rFonts w:ascii="Garamond" w:eastAsia="Garamond" w:hAnsi="Garamond" w:cs="Garamond"/>
          <w:color w:val="000000"/>
        </w:rPr>
        <w:t xml:space="preserve">medical practices like </w:t>
      </w:r>
      <w:r w:rsidR="008A2632" w:rsidRPr="0080605C">
        <w:rPr>
          <w:rFonts w:ascii="Garamond" w:eastAsia="Garamond" w:hAnsi="Garamond" w:cs="Garamond"/>
          <w:color w:val="000000"/>
        </w:rPr>
        <w:t>patient-requested</w:t>
      </w:r>
      <w:r w:rsidR="00421EA6" w:rsidRPr="0080605C">
        <w:rPr>
          <w:rFonts w:ascii="Garamond" w:eastAsia="Garamond" w:hAnsi="Garamond" w:cs="Garamond"/>
          <w:color w:val="000000"/>
        </w:rPr>
        <w:t xml:space="preserve">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w:t>
      </w:r>
      <w:r w:rsidR="008A2632" w:rsidRPr="0080605C">
        <w:rPr>
          <w:rFonts w:ascii="Garamond" w:eastAsia="Garamond" w:hAnsi="Garamond" w:cs="Garamond"/>
          <w:color w:val="000000"/>
        </w:rPr>
        <w:t>patient-requested</w:t>
      </w:r>
      <w:r w:rsidR="001D4893" w:rsidRPr="0080605C">
        <w:rPr>
          <w:rFonts w:ascii="Garamond" w:eastAsia="Garamond" w:hAnsi="Garamond" w:cs="Garamond"/>
          <w:color w:val="000000"/>
        </w:rPr>
        <w:t xml:space="preserve"> </w:t>
      </w:r>
      <w:r w:rsidR="008A2632" w:rsidRPr="0080605C">
        <w:rPr>
          <w:rFonts w:ascii="Garamond" w:eastAsia="Garamond" w:hAnsi="Garamond" w:cs="Garamond"/>
          <w:color w:val="000000"/>
        </w:rPr>
        <w:t>withdrawal of care</w:t>
      </w:r>
      <w:r w:rsidR="004260C3" w:rsidRPr="0080605C">
        <w:rPr>
          <w:rFonts w:ascii="Garamond" w:eastAsia="Garamond" w:hAnsi="Garamond" w:cs="Garamond"/>
          <w:color w:val="000000"/>
        </w:rPr>
        <w:t>,</w:t>
      </w:r>
      <w:r w:rsidR="00FD06F2" w:rsidRPr="0080605C">
        <w:rPr>
          <w:rFonts w:ascii="Garamond" w:eastAsia="Garamond" w:hAnsi="Garamond" w:cs="Garamond"/>
          <w:color w:val="000000"/>
        </w:rPr>
        <w:t xml:space="preserve"> </w:t>
      </w:r>
      <w:r w:rsidRPr="0080605C">
        <w:rPr>
          <w:rFonts w:ascii="Garamond" w:eastAsia="Garamond" w:hAnsi="Garamond" w:cs="Garamond"/>
          <w:color w:val="000000"/>
        </w:rPr>
        <w:t xml:space="preserve">and </w:t>
      </w:r>
      <w:r w:rsidR="008A2632" w:rsidRPr="0080605C">
        <w:rPr>
          <w:rFonts w:ascii="Garamond" w:eastAsia="Garamond" w:hAnsi="Garamond" w:cs="Garamond"/>
          <w:color w:val="000000"/>
        </w:rPr>
        <w:t>surrogate-requested withdrawal of care</w:t>
      </w:r>
      <w:r w:rsidRPr="0080605C">
        <w:rPr>
          <w:rFonts w:ascii="Garamond" w:eastAsia="Garamond" w:hAnsi="Garamond" w:cs="Garamond"/>
          <w:color w:val="000000"/>
        </w:rPr>
        <w:t xml:space="preserve">, we ought to grant the in-principle permissibility of </w:t>
      </w:r>
      <w:r w:rsidR="008A2632" w:rsidRPr="0080605C">
        <w:rPr>
          <w:rFonts w:ascii="Garamond" w:eastAsia="Garamond" w:hAnsi="Garamond" w:cs="Garamond"/>
          <w:color w:val="000000"/>
        </w:rPr>
        <w:t>advance directive-requested</w:t>
      </w:r>
      <w:r w:rsidR="00421EA6" w:rsidRPr="0080605C">
        <w:rPr>
          <w:rFonts w:ascii="Garamond" w:eastAsia="Garamond" w:hAnsi="Garamond" w:cs="Garamond"/>
          <w:color w:val="000000"/>
        </w:rPr>
        <w:t xml:space="preserve">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and </w:t>
      </w:r>
      <w:r w:rsidR="008A2632" w:rsidRPr="0080605C">
        <w:rPr>
          <w:rFonts w:ascii="Garamond" w:eastAsia="Garamond" w:hAnsi="Garamond" w:cs="Garamond"/>
          <w:color w:val="000000"/>
        </w:rPr>
        <w:t>surrogate-requested</w:t>
      </w:r>
      <w:r w:rsidR="00186DDD" w:rsidRPr="0080605C">
        <w:rPr>
          <w:rFonts w:ascii="Garamond" w:eastAsia="Garamond" w:hAnsi="Garamond" w:cs="Garamond"/>
          <w:color w:val="000000"/>
        </w:rPr>
        <w:t xml:space="preserve">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w:t>
      </w:r>
    </w:p>
    <w:p w14:paraId="60DFEBA2" w14:textId="346E5798" w:rsidR="00E91839" w:rsidRPr="0080605C" w:rsidRDefault="000D2237" w:rsidP="00EA3155">
      <w:pPr>
        <w:spacing w:line="480" w:lineRule="auto"/>
        <w:jc w:val="both"/>
        <w:rPr>
          <w:rFonts w:ascii="Garamond" w:eastAsia="Garamond" w:hAnsi="Garamond" w:cs="Garamond"/>
          <w:color w:val="000000"/>
        </w:rPr>
      </w:pPr>
      <w:r w:rsidRPr="0080605C">
        <w:rPr>
          <w:rFonts w:ascii="Garamond" w:eastAsia="Garamond" w:hAnsi="Garamond" w:cs="Garamond"/>
          <w:color w:val="000000"/>
        </w:rPr>
        <w:tab/>
        <w:t xml:space="preserve">We then sought to bridge the gap between in-principle permissibility and in-practice permissibility by arguing that the additional risks associated with </w:t>
      </w:r>
      <w:r w:rsidR="008A2632" w:rsidRPr="0080605C">
        <w:rPr>
          <w:rFonts w:ascii="Garamond" w:eastAsia="Garamond" w:hAnsi="Garamond" w:cs="Garamond"/>
          <w:color w:val="000000"/>
        </w:rPr>
        <w:t>these more expansive PAD practices</w:t>
      </w:r>
      <w:r w:rsidRPr="0080605C">
        <w:rPr>
          <w:rFonts w:ascii="Garamond" w:eastAsia="Garamond" w:hAnsi="Garamond" w:cs="Garamond"/>
          <w:color w:val="000000"/>
        </w:rPr>
        <w:t xml:space="preserve"> were not, in most cases, so great as to outweigh the potential benefits that patients may derive from having access to them. The case for </w:t>
      </w:r>
      <w:r w:rsidRPr="0080605C">
        <w:rPr>
          <w:rFonts w:ascii="Garamond" w:eastAsia="Garamond" w:hAnsi="Garamond" w:cs="Garamond"/>
          <w:smallCaps/>
          <w:color w:val="000000"/>
        </w:rPr>
        <w:t xml:space="preserve">Legal </w:t>
      </w:r>
      <w:r w:rsidR="00421EA6" w:rsidRPr="0080605C">
        <w:rPr>
          <w:rFonts w:ascii="Garamond" w:eastAsia="Garamond" w:hAnsi="Garamond" w:cs="Garamond"/>
          <w:smallCaps/>
          <w:color w:val="000000"/>
        </w:rPr>
        <w:t xml:space="preserve">Advance </w:t>
      </w:r>
      <w:r w:rsidR="00843CB9" w:rsidRPr="0080605C">
        <w:rPr>
          <w:rFonts w:ascii="Garamond" w:eastAsia="Garamond" w:hAnsi="Garamond" w:cs="Garamond"/>
          <w:smallCaps/>
          <w:color w:val="000000"/>
        </w:rPr>
        <w:t>PAD</w:t>
      </w:r>
      <w:r w:rsidRPr="0080605C">
        <w:rPr>
          <w:rFonts w:ascii="Garamond" w:eastAsia="Garamond" w:hAnsi="Garamond" w:cs="Garamond"/>
          <w:color w:val="000000"/>
        </w:rPr>
        <w:t xml:space="preserve"> was relatively simple: </w:t>
      </w:r>
      <w:r w:rsidR="00427F2E">
        <w:rPr>
          <w:rFonts w:ascii="Garamond" w:eastAsia="Garamond" w:hAnsi="Garamond" w:cs="Garamond"/>
          <w:color w:val="000000"/>
        </w:rPr>
        <w:t xml:space="preserve">assuming that appropriate legal safeguards are put in place, then </w:t>
      </w:r>
      <w:r w:rsidRPr="0080605C">
        <w:rPr>
          <w:rFonts w:ascii="Garamond" w:eastAsia="Garamond" w:hAnsi="Garamond" w:cs="Garamond"/>
          <w:color w:val="000000"/>
        </w:rPr>
        <w:t xml:space="preserve">the risks associated with it, we argued, were not sufficient to justify the infringement that the current prohibition on </w:t>
      </w:r>
      <w:r w:rsidR="008A2632" w:rsidRPr="0080605C">
        <w:rPr>
          <w:rFonts w:ascii="Garamond" w:eastAsia="Garamond" w:hAnsi="Garamond" w:cs="Garamond"/>
          <w:color w:val="000000"/>
        </w:rPr>
        <w:t>advance directive-requested</w:t>
      </w:r>
      <w:r w:rsidR="00421EA6" w:rsidRPr="0080605C">
        <w:rPr>
          <w:rFonts w:ascii="Garamond" w:eastAsia="Garamond" w:hAnsi="Garamond" w:cs="Garamond"/>
          <w:color w:val="000000"/>
        </w:rPr>
        <w:t xml:space="preserve">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places on patient autonomy. </w:t>
      </w:r>
    </w:p>
    <w:p w14:paraId="095F9D11" w14:textId="34636799" w:rsidR="00E91839" w:rsidRPr="0080605C" w:rsidRDefault="000D2237" w:rsidP="00EA3155">
      <w:pPr>
        <w:spacing w:line="480" w:lineRule="auto"/>
        <w:jc w:val="both"/>
        <w:rPr>
          <w:rFonts w:ascii="Garamond" w:eastAsia="Garamond" w:hAnsi="Garamond" w:cs="Garamond"/>
          <w:color w:val="000000"/>
        </w:rPr>
      </w:pPr>
      <w:r w:rsidRPr="0080605C">
        <w:rPr>
          <w:rFonts w:ascii="Garamond" w:eastAsia="Garamond" w:hAnsi="Garamond" w:cs="Garamond"/>
          <w:color w:val="000000"/>
        </w:rPr>
        <w:tab/>
        <w:t xml:space="preserve">To make </w:t>
      </w:r>
      <w:r w:rsidR="00E57AD9" w:rsidRPr="0080605C">
        <w:rPr>
          <w:rFonts w:ascii="Garamond" w:eastAsia="Garamond" w:hAnsi="Garamond" w:cs="Garamond"/>
          <w:color w:val="000000"/>
        </w:rPr>
        <w:t xml:space="preserve">the case for </w:t>
      </w:r>
      <w:r w:rsidR="00E57AD9" w:rsidRPr="0080605C">
        <w:rPr>
          <w:rFonts w:ascii="Garamond" w:eastAsia="Garamond" w:hAnsi="Garamond" w:cs="Garamond"/>
          <w:smallCaps/>
          <w:color w:val="000000"/>
        </w:rPr>
        <w:t>Legal Surrogate PAD</w:t>
      </w:r>
      <w:r w:rsidRPr="0080605C">
        <w:rPr>
          <w:rFonts w:ascii="Garamond" w:eastAsia="Garamond" w:hAnsi="Garamond" w:cs="Garamond"/>
          <w:color w:val="000000"/>
        </w:rPr>
        <w:t xml:space="preserve">, </w:t>
      </w:r>
      <w:r w:rsidR="008A2632" w:rsidRPr="0080605C">
        <w:rPr>
          <w:rFonts w:ascii="Garamond" w:eastAsia="Garamond" w:hAnsi="Garamond" w:cs="Garamond"/>
          <w:color w:val="000000"/>
        </w:rPr>
        <w:t>we considered the extent to which different types of surrogate decision</w:t>
      </w:r>
      <w:r w:rsidR="00482C1F">
        <w:rPr>
          <w:rFonts w:ascii="Garamond" w:eastAsia="Garamond" w:hAnsi="Garamond" w:cs="Garamond"/>
          <w:color w:val="000000"/>
        </w:rPr>
        <w:t xml:space="preserve"> </w:t>
      </w:r>
      <w:r w:rsidR="008A2632" w:rsidRPr="0080605C">
        <w:rPr>
          <w:rFonts w:ascii="Garamond" w:eastAsia="Garamond" w:hAnsi="Garamond" w:cs="Garamond"/>
          <w:color w:val="000000"/>
        </w:rPr>
        <w:t xml:space="preserve">makers </w:t>
      </w:r>
      <w:r w:rsidR="00482C1F">
        <w:rPr>
          <w:rFonts w:ascii="Garamond" w:eastAsia="Garamond" w:hAnsi="Garamond" w:cs="Garamond"/>
          <w:color w:val="000000"/>
        </w:rPr>
        <w:t>a</w:t>
      </w:r>
      <w:r w:rsidR="008A2632" w:rsidRPr="0080605C">
        <w:rPr>
          <w:rFonts w:ascii="Garamond" w:eastAsia="Garamond" w:hAnsi="Garamond" w:cs="Garamond"/>
          <w:color w:val="000000"/>
        </w:rPr>
        <w:t xml:space="preserve">re likely to be able to act out of concern for patient autonomy, which </w:t>
      </w:r>
      <w:proofErr w:type="gramStart"/>
      <w:r w:rsidR="008A2632" w:rsidRPr="0080605C">
        <w:rPr>
          <w:rFonts w:ascii="Garamond" w:eastAsia="Garamond" w:hAnsi="Garamond" w:cs="Garamond"/>
          <w:color w:val="000000"/>
        </w:rPr>
        <w:t xml:space="preserve">we </w:t>
      </w:r>
      <w:r w:rsidR="000C0332">
        <w:rPr>
          <w:rFonts w:ascii="Garamond" w:eastAsia="Garamond" w:hAnsi="Garamond" w:cs="Garamond"/>
          <w:color w:val="000000"/>
        </w:rPr>
        <w:t xml:space="preserve"> understood</w:t>
      </w:r>
      <w:proofErr w:type="gramEnd"/>
      <w:r w:rsidR="000C0332">
        <w:rPr>
          <w:rFonts w:ascii="Garamond" w:eastAsia="Garamond" w:hAnsi="Garamond" w:cs="Garamond"/>
          <w:color w:val="000000"/>
        </w:rPr>
        <w:t xml:space="preserve"> </w:t>
      </w:r>
      <w:r w:rsidR="008A2632" w:rsidRPr="0080605C">
        <w:rPr>
          <w:rFonts w:ascii="Garamond" w:eastAsia="Garamond" w:hAnsi="Garamond" w:cs="Garamond"/>
          <w:color w:val="000000"/>
        </w:rPr>
        <w:t>as involving both sovereignty and nonalienation.</w:t>
      </w:r>
      <w:r w:rsidRPr="0080605C">
        <w:rPr>
          <w:rFonts w:ascii="Garamond" w:eastAsia="Garamond" w:hAnsi="Garamond" w:cs="Garamond"/>
          <w:color w:val="000000"/>
        </w:rPr>
        <w:t xml:space="preserve"> We can sum up the relationship between different categories of surrogates, and different types of concern for autonomy, as follows:</w:t>
      </w:r>
    </w:p>
    <w:tbl>
      <w:tblPr>
        <w:tblStyle w:val="1"/>
        <w:tblW w:w="9210" w:type="dxa"/>
        <w:jc w:val="center"/>
        <w:tblLayout w:type="fixed"/>
        <w:tblLook w:val="0400" w:firstRow="0" w:lastRow="0" w:firstColumn="0" w:lastColumn="0" w:noHBand="0" w:noVBand="1"/>
      </w:tblPr>
      <w:tblGrid>
        <w:gridCol w:w="3450"/>
        <w:gridCol w:w="2760"/>
        <w:gridCol w:w="3000"/>
      </w:tblGrid>
      <w:tr w:rsidR="00E91839" w:rsidRPr="0080605C" w14:paraId="40958DD9" w14:textId="77777777">
        <w:trPr>
          <w:jc w:val="center"/>
        </w:trPr>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4847" w14:textId="77777777" w:rsidR="00E91839" w:rsidRPr="0080605C" w:rsidRDefault="00E91839" w:rsidP="0060239C">
            <w:pPr>
              <w:spacing w:line="360" w:lineRule="auto"/>
              <w:jc w:val="both"/>
              <w:rPr>
                <w:rFonts w:ascii="Garamond" w:eastAsia="Times New Roman" w:hAnsi="Garamond" w:cs="Times New Roman"/>
                <w:color w:val="000000"/>
              </w:rPr>
            </w:pPr>
          </w:p>
        </w:tc>
        <w:tc>
          <w:tcPr>
            <w:tcW w:w="2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6A0FC" w14:textId="77777777" w:rsidR="00E91839" w:rsidRPr="0080605C" w:rsidRDefault="000D2237" w:rsidP="0060239C">
            <w:pPr>
              <w:spacing w:line="360" w:lineRule="auto"/>
              <w:jc w:val="both"/>
              <w:rPr>
                <w:rFonts w:ascii="Garamond" w:eastAsia="Times New Roman" w:hAnsi="Garamond" w:cs="Times New Roman"/>
                <w:b/>
                <w:color w:val="000000"/>
              </w:rPr>
            </w:pPr>
            <w:r w:rsidRPr="0080605C">
              <w:rPr>
                <w:rFonts w:ascii="Garamond" w:eastAsia="Garamond" w:hAnsi="Garamond" w:cs="Garamond"/>
                <w:b/>
                <w:color w:val="000000"/>
              </w:rPr>
              <w:t>Concern for Sovereignty </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AD18B" w14:textId="77777777" w:rsidR="00E91839" w:rsidRPr="0080605C" w:rsidRDefault="000D2237" w:rsidP="0060239C">
            <w:pPr>
              <w:spacing w:line="360" w:lineRule="auto"/>
              <w:jc w:val="both"/>
              <w:rPr>
                <w:rFonts w:ascii="Garamond" w:eastAsia="Times New Roman" w:hAnsi="Garamond" w:cs="Times New Roman"/>
                <w:b/>
                <w:color w:val="000000"/>
              </w:rPr>
            </w:pPr>
            <w:r w:rsidRPr="0080605C">
              <w:rPr>
                <w:rFonts w:ascii="Garamond" w:eastAsia="Garamond" w:hAnsi="Garamond" w:cs="Garamond"/>
                <w:b/>
                <w:color w:val="000000"/>
              </w:rPr>
              <w:t>Concern for Nonalienation</w:t>
            </w:r>
          </w:p>
        </w:tc>
      </w:tr>
      <w:tr w:rsidR="00E91839" w:rsidRPr="0080605C" w14:paraId="08A04B7E" w14:textId="77777777">
        <w:trPr>
          <w:jc w:val="center"/>
        </w:trPr>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F9B31" w14:textId="5855C481" w:rsidR="00E91839" w:rsidRPr="00993785" w:rsidRDefault="00C90902" w:rsidP="0060239C">
            <w:pPr>
              <w:spacing w:line="360" w:lineRule="auto"/>
              <w:jc w:val="both"/>
              <w:rPr>
                <w:rFonts w:ascii="Garamond" w:eastAsia="Times New Roman" w:hAnsi="Garamond" w:cs="Times New Roman"/>
                <w:b/>
                <w:color w:val="000000"/>
              </w:rPr>
            </w:pPr>
            <w:r w:rsidRPr="00993785">
              <w:rPr>
                <w:rFonts w:ascii="Garamond" w:eastAsia="Garamond" w:hAnsi="Garamond" w:cs="Garamond"/>
                <w:b/>
                <w:color w:val="000000"/>
              </w:rPr>
              <w:t>Patient-</w:t>
            </w:r>
            <w:r w:rsidR="000D2237" w:rsidRPr="00993785">
              <w:rPr>
                <w:rFonts w:ascii="Garamond" w:eastAsia="Garamond" w:hAnsi="Garamond" w:cs="Garamond"/>
                <w:b/>
                <w:color w:val="000000"/>
              </w:rPr>
              <w:t>Appointed</w:t>
            </w:r>
            <w:r w:rsidRPr="00993785">
              <w:rPr>
                <w:rFonts w:ascii="Garamond" w:eastAsia="Garamond" w:hAnsi="Garamond" w:cs="Garamond"/>
                <w:b/>
                <w:color w:val="000000"/>
              </w:rPr>
              <w:t xml:space="preserve">, </w:t>
            </w:r>
            <w:r w:rsidR="000D2237" w:rsidRPr="00993785">
              <w:rPr>
                <w:rFonts w:ascii="Garamond" w:eastAsia="Garamond" w:hAnsi="Garamond" w:cs="Garamond"/>
                <w:b/>
              </w:rPr>
              <w:t>Familiar</w:t>
            </w:r>
          </w:p>
        </w:tc>
        <w:tc>
          <w:tcPr>
            <w:tcW w:w="2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18D15" w14:textId="77777777" w:rsidR="00E91839" w:rsidRPr="00C4717A" w:rsidRDefault="000D2237" w:rsidP="0060239C">
            <w:pPr>
              <w:spacing w:line="360" w:lineRule="auto"/>
              <w:jc w:val="both"/>
              <w:rPr>
                <w:rFonts w:ascii="Garamond" w:eastAsia="Times New Roman" w:hAnsi="Garamond" w:cs="Times New Roman"/>
                <w:color w:val="000000"/>
              </w:rPr>
            </w:pPr>
            <w:r w:rsidRPr="00C4717A">
              <w:rPr>
                <w:rFonts w:ascii="Garamond" w:eastAsia="Garamond" w:hAnsi="Garamond" w:cs="Garamond"/>
                <w:color w:val="000000"/>
              </w:rPr>
              <w:t>Yes</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E0FC8" w14:textId="77777777" w:rsidR="00E91839" w:rsidRPr="005B1297" w:rsidRDefault="000D2237" w:rsidP="0060239C">
            <w:pPr>
              <w:spacing w:line="360" w:lineRule="auto"/>
              <w:jc w:val="both"/>
              <w:rPr>
                <w:rFonts w:ascii="Garamond" w:eastAsia="Times New Roman" w:hAnsi="Garamond" w:cs="Times New Roman"/>
                <w:color w:val="000000"/>
              </w:rPr>
            </w:pPr>
            <w:r w:rsidRPr="005B1297">
              <w:rPr>
                <w:rFonts w:ascii="Garamond" w:eastAsia="Garamond" w:hAnsi="Garamond" w:cs="Garamond"/>
                <w:color w:val="000000"/>
              </w:rPr>
              <w:t>Yes</w:t>
            </w:r>
          </w:p>
        </w:tc>
      </w:tr>
      <w:tr w:rsidR="00E91839" w:rsidRPr="0080605C" w14:paraId="10C671E7" w14:textId="77777777">
        <w:trPr>
          <w:jc w:val="center"/>
        </w:trPr>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CE077" w14:textId="6D607369" w:rsidR="00E91839" w:rsidRPr="00993785" w:rsidRDefault="00C90902" w:rsidP="0060239C">
            <w:pPr>
              <w:spacing w:line="360" w:lineRule="auto"/>
              <w:jc w:val="both"/>
              <w:rPr>
                <w:rFonts w:ascii="Garamond" w:eastAsia="Times New Roman" w:hAnsi="Garamond" w:cs="Times New Roman"/>
                <w:b/>
                <w:color w:val="000000"/>
              </w:rPr>
            </w:pPr>
            <w:r w:rsidRPr="00993785">
              <w:rPr>
                <w:rFonts w:ascii="Garamond" w:eastAsia="Garamond" w:hAnsi="Garamond" w:cs="Garamond"/>
                <w:b/>
                <w:color w:val="000000"/>
              </w:rPr>
              <w:t>Patient-</w:t>
            </w:r>
            <w:r w:rsidR="000D2237" w:rsidRPr="00993785">
              <w:rPr>
                <w:rFonts w:ascii="Garamond" w:eastAsia="Garamond" w:hAnsi="Garamond" w:cs="Garamond"/>
                <w:b/>
                <w:color w:val="000000"/>
              </w:rPr>
              <w:t>Appointed</w:t>
            </w:r>
            <w:r w:rsidRPr="00993785">
              <w:rPr>
                <w:rFonts w:ascii="Garamond" w:eastAsia="Garamond" w:hAnsi="Garamond" w:cs="Garamond"/>
                <w:b/>
                <w:color w:val="000000"/>
              </w:rPr>
              <w:t xml:space="preserve">, </w:t>
            </w:r>
            <w:r w:rsidR="000D2237" w:rsidRPr="00993785">
              <w:rPr>
                <w:rFonts w:ascii="Garamond" w:eastAsia="Garamond" w:hAnsi="Garamond" w:cs="Garamond"/>
                <w:b/>
              </w:rPr>
              <w:t>Unfamiliar</w:t>
            </w:r>
          </w:p>
        </w:tc>
        <w:tc>
          <w:tcPr>
            <w:tcW w:w="2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BF7D8" w14:textId="77777777" w:rsidR="00E91839" w:rsidRPr="00C4717A" w:rsidRDefault="000D2237" w:rsidP="0060239C">
            <w:pPr>
              <w:spacing w:line="360" w:lineRule="auto"/>
              <w:jc w:val="both"/>
              <w:rPr>
                <w:rFonts w:ascii="Garamond" w:eastAsia="Times New Roman" w:hAnsi="Garamond" w:cs="Times New Roman"/>
                <w:color w:val="000000"/>
              </w:rPr>
            </w:pPr>
            <w:r w:rsidRPr="00C4717A">
              <w:rPr>
                <w:rFonts w:ascii="Garamond" w:eastAsia="Garamond" w:hAnsi="Garamond" w:cs="Garamond"/>
                <w:color w:val="000000"/>
              </w:rPr>
              <w:t>Yes</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FDF4C" w14:textId="113C7558" w:rsidR="00E91839" w:rsidRPr="005B1297" w:rsidRDefault="005B29A1" w:rsidP="0060239C">
            <w:pPr>
              <w:spacing w:line="360" w:lineRule="auto"/>
              <w:jc w:val="both"/>
              <w:rPr>
                <w:rFonts w:ascii="Garamond" w:eastAsia="Times New Roman" w:hAnsi="Garamond" w:cs="Times New Roman"/>
                <w:color w:val="000000"/>
              </w:rPr>
            </w:pPr>
            <w:r w:rsidRPr="005B1297">
              <w:rPr>
                <w:rFonts w:ascii="Garamond" w:eastAsia="Garamond" w:hAnsi="Garamond" w:cs="Garamond"/>
                <w:color w:val="000000"/>
              </w:rPr>
              <w:t>Possibly</w:t>
            </w:r>
          </w:p>
        </w:tc>
      </w:tr>
      <w:tr w:rsidR="00E91839" w:rsidRPr="0080605C" w14:paraId="3FF4C153" w14:textId="77777777">
        <w:trPr>
          <w:jc w:val="center"/>
        </w:trPr>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C782C" w14:textId="17032DE6" w:rsidR="00E91839" w:rsidRPr="00993785" w:rsidRDefault="00C90902" w:rsidP="0060239C">
            <w:pPr>
              <w:spacing w:line="360" w:lineRule="auto"/>
              <w:jc w:val="both"/>
              <w:rPr>
                <w:rFonts w:ascii="Garamond" w:eastAsia="Times New Roman" w:hAnsi="Garamond" w:cs="Times New Roman"/>
                <w:b/>
                <w:color w:val="000000"/>
              </w:rPr>
            </w:pPr>
            <w:r w:rsidRPr="00993785">
              <w:rPr>
                <w:rFonts w:ascii="Garamond" w:eastAsia="Garamond" w:hAnsi="Garamond" w:cs="Garamond"/>
                <w:b/>
                <w:color w:val="000000"/>
              </w:rPr>
              <w:t xml:space="preserve">State-Appointed, </w:t>
            </w:r>
            <w:r w:rsidR="000D2237" w:rsidRPr="00993785">
              <w:rPr>
                <w:rFonts w:ascii="Garamond" w:eastAsia="Garamond" w:hAnsi="Garamond" w:cs="Garamond"/>
                <w:b/>
              </w:rPr>
              <w:t>Familiar</w:t>
            </w:r>
          </w:p>
        </w:tc>
        <w:tc>
          <w:tcPr>
            <w:tcW w:w="2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AEDE1" w14:textId="77777777" w:rsidR="00E91839" w:rsidRPr="00C4717A" w:rsidRDefault="000D2237" w:rsidP="0060239C">
            <w:pPr>
              <w:spacing w:line="360" w:lineRule="auto"/>
              <w:jc w:val="both"/>
              <w:rPr>
                <w:rFonts w:ascii="Garamond" w:eastAsia="Times New Roman" w:hAnsi="Garamond" w:cs="Times New Roman"/>
                <w:color w:val="000000"/>
              </w:rPr>
            </w:pPr>
            <w:r w:rsidRPr="00C4717A">
              <w:rPr>
                <w:rFonts w:ascii="Garamond" w:eastAsia="Garamond" w:hAnsi="Garamond" w:cs="Garamond"/>
                <w:color w:val="000000"/>
              </w:rPr>
              <w:t>No</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4858F" w14:textId="77777777" w:rsidR="00E91839" w:rsidRPr="005B1297" w:rsidRDefault="000D2237" w:rsidP="0060239C">
            <w:pPr>
              <w:spacing w:line="360" w:lineRule="auto"/>
              <w:jc w:val="both"/>
              <w:rPr>
                <w:rFonts w:ascii="Garamond" w:eastAsia="Times New Roman" w:hAnsi="Garamond" w:cs="Times New Roman"/>
                <w:color w:val="000000"/>
              </w:rPr>
            </w:pPr>
            <w:r w:rsidRPr="005B1297">
              <w:rPr>
                <w:rFonts w:ascii="Garamond" w:eastAsia="Garamond" w:hAnsi="Garamond" w:cs="Garamond"/>
                <w:color w:val="000000"/>
              </w:rPr>
              <w:t>Yes</w:t>
            </w:r>
          </w:p>
        </w:tc>
      </w:tr>
      <w:tr w:rsidR="00E91839" w:rsidRPr="0080605C" w14:paraId="2C8DB377" w14:textId="77777777">
        <w:trPr>
          <w:jc w:val="center"/>
        </w:trPr>
        <w:tc>
          <w:tcPr>
            <w:tcW w:w="3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974A1" w14:textId="789D54D3" w:rsidR="00E91839" w:rsidRPr="00993785" w:rsidRDefault="00C90902" w:rsidP="0060239C">
            <w:pPr>
              <w:spacing w:line="360" w:lineRule="auto"/>
              <w:jc w:val="both"/>
              <w:rPr>
                <w:rFonts w:ascii="Garamond" w:eastAsia="Times New Roman" w:hAnsi="Garamond" w:cs="Times New Roman"/>
                <w:b/>
                <w:color w:val="000000"/>
              </w:rPr>
            </w:pPr>
            <w:r w:rsidRPr="00993785">
              <w:rPr>
                <w:rFonts w:ascii="Garamond" w:eastAsia="Garamond" w:hAnsi="Garamond" w:cs="Garamond"/>
                <w:b/>
                <w:color w:val="000000"/>
              </w:rPr>
              <w:t xml:space="preserve">State-Appointed, </w:t>
            </w:r>
            <w:r w:rsidR="000D2237" w:rsidRPr="00993785">
              <w:rPr>
                <w:rFonts w:ascii="Garamond" w:eastAsia="Garamond" w:hAnsi="Garamond" w:cs="Garamond"/>
                <w:b/>
              </w:rPr>
              <w:t>Unfamiliar</w:t>
            </w:r>
          </w:p>
        </w:tc>
        <w:tc>
          <w:tcPr>
            <w:tcW w:w="2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C1869" w14:textId="77777777" w:rsidR="00E91839" w:rsidRPr="00C4717A" w:rsidRDefault="000D2237" w:rsidP="0060239C">
            <w:pPr>
              <w:spacing w:line="360" w:lineRule="auto"/>
              <w:jc w:val="both"/>
              <w:rPr>
                <w:rFonts w:ascii="Garamond" w:eastAsia="Times New Roman" w:hAnsi="Garamond" w:cs="Times New Roman"/>
                <w:color w:val="000000"/>
              </w:rPr>
            </w:pPr>
            <w:r w:rsidRPr="00C4717A">
              <w:rPr>
                <w:rFonts w:ascii="Garamond" w:eastAsia="Garamond" w:hAnsi="Garamond" w:cs="Garamond"/>
                <w:color w:val="000000"/>
              </w:rPr>
              <w:t>No</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13867" w14:textId="04DA71C1" w:rsidR="00E91839" w:rsidRPr="005B1297" w:rsidRDefault="00877269" w:rsidP="0060239C">
            <w:pPr>
              <w:spacing w:line="360" w:lineRule="auto"/>
              <w:jc w:val="both"/>
              <w:rPr>
                <w:rFonts w:ascii="Garamond" w:eastAsia="Times New Roman" w:hAnsi="Garamond" w:cs="Times New Roman"/>
                <w:color w:val="000000"/>
              </w:rPr>
            </w:pPr>
            <w:r w:rsidRPr="005B1297">
              <w:rPr>
                <w:rFonts w:ascii="Garamond" w:eastAsia="Garamond" w:hAnsi="Garamond" w:cs="Garamond"/>
                <w:color w:val="000000"/>
              </w:rPr>
              <w:t>Possibly</w:t>
            </w:r>
          </w:p>
        </w:tc>
      </w:tr>
    </w:tbl>
    <w:p w14:paraId="532AB339" w14:textId="77777777" w:rsidR="00E91839" w:rsidRPr="00993785" w:rsidRDefault="00E91839" w:rsidP="00EA3155">
      <w:pPr>
        <w:spacing w:line="480" w:lineRule="auto"/>
        <w:jc w:val="both"/>
        <w:rPr>
          <w:rFonts w:ascii="Garamond" w:eastAsia="Garamond" w:hAnsi="Garamond" w:cs="Garamond"/>
          <w:color w:val="000000"/>
        </w:rPr>
      </w:pPr>
    </w:p>
    <w:p w14:paraId="282A6721" w14:textId="1FD9BF42" w:rsidR="00E91839" w:rsidRPr="001A26FE" w:rsidRDefault="000D2237" w:rsidP="00EA3155">
      <w:pPr>
        <w:spacing w:line="480" w:lineRule="auto"/>
        <w:jc w:val="both"/>
        <w:rPr>
          <w:rFonts w:ascii="Garamond" w:eastAsia="Garamond" w:hAnsi="Garamond" w:cs="Garamond"/>
          <w:color w:val="000000"/>
        </w:rPr>
      </w:pPr>
      <w:r w:rsidRPr="00993785">
        <w:rPr>
          <w:rFonts w:ascii="Garamond" w:eastAsia="Garamond" w:hAnsi="Garamond" w:cs="Garamond"/>
          <w:color w:val="000000"/>
        </w:rPr>
        <w:t xml:space="preserve">Thus, in all cases but those involving </w:t>
      </w:r>
      <w:r w:rsidR="008A2632" w:rsidRPr="00993785">
        <w:rPr>
          <w:rFonts w:ascii="Garamond" w:eastAsia="Garamond" w:hAnsi="Garamond" w:cs="Garamond"/>
          <w:color w:val="000000"/>
        </w:rPr>
        <w:t>state-appointed, unfamiliar</w:t>
      </w:r>
      <w:r w:rsidRPr="00993785">
        <w:rPr>
          <w:rFonts w:ascii="Garamond" w:eastAsia="Garamond" w:hAnsi="Garamond" w:cs="Garamond"/>
          <w:color w:val="000000"/>
        </w:rPr>
        <w:t xml:space="preserve"> surrogates, we will have reasons related to patient</w:t>
      </w:r>
      <w:r w:rsidR="006C72DE" w:rsidRPr="00C4717A">
        <w:rPr>
          <w:rFonts w:ascii="Garamond" w:eastAsia="Garamond" w:hAnsi="Garamond" w:cs="Garamond"/>
          <w:color w:val="000000"/>
        </w:rPr>
        <w:t xml:space="preserve"> </w:t>
      </w:r>
      <w:r w:rsidRPr="00C4717A">
        <w:rPr>
          <w:rFonts w:ascii="Garamond" w:eastAsia="Garamond" w:hAnsi="Garamond" w:cs="Garamond"/>
          <w:color w:val="000000"/>
        </w:rPr>
        <w:t xml:space="preserve">autonomy to respect </w:t>
      </w:r>
      <w:r w:rsidR="00C80C16" w:rsidRPr="005B1297">
        <w:rPr>
          <w:rFonts w:ascii="Garamond" w:eastAsia="Garamond" w:hAnsi="Garamond" w:cs="Garamond"/>
          <w:color w:val="000000"/>
        </w:rPr>
        <w:t>PAD requests made by surrogate decision</w:t>
      </w:r>
      <w:r w:rsidR="00482C1F">
        <w:rPr>
          <w:rFonts w:ascii="Garamond" w:eastAsia="Garamond" w:hAnsi="Garamond" w:cs="Garamond"/>
          <w:color w:val="000000"/>
        </w:rPr>
        <w:t xml:space="preserve"> </w:t>
      </w:r>
      <w:r w:rsidR="00C80C16" w:rsidRPr="005B1297">
        <w:rPr>
          <w:rFonts w:ascii="Garamond" w:eastAsia="Garamond" w:hAnsi="Garamond" w:cs="Garamond"/>
          <w:color w:val="000000"/>
        </w:rPr>
        <w:t>makers</w:t>
      </w:r>
      <w:r w:rsidRPr="005B1297">
        <w:rPr>
          <w:rFonts w:ascii="Garamond" w:eastAsia="Garamond" w:hAnsi="Garamond" w:cs="Garamond"/>
          <w:color w:val="000000"/>
        </w:rPr>
        <w:t xml:space="preserve">. Provided </w:t>
      </w:r>
      <w:r w:rsidRPr="005B1297">
        <w:rPr>
          <w:rFonts w:ascii="Garamond" w:eastAsia="Garamond" w:hAnsi="Garamond" w:cs="Garamond"/>
          <w:color w:val="000000"/>
        </w:rPr>
        <w:lastRenderedPageBreak/>
        <w:t xml:space="preserve">that appropriate legal safeguards are put in place, we think that this consideration provides a strong defense of </w:t>
      </w:r>
      <w:r w:rsidRPr="005B1297">
        <w:rPr>
          <w:rFonts w:ascii="Garamond" w:eastAsia="Garamond" w:hAnsi="Garamond" w:cs="Garamond"/>
          <w:smallCaps/>
          <w:color w:val="000000"/>
        </w:rPr>
        <w:t xml:space="preserve">Legal </w:t>
      </w:r>
      <w:r w:rsidR="00421EA6" w:rsidRPr="00A43FD1">
        <w:rPr>
          <w:rFonts w:ascii="Garamond" w:eastAsia="Garamond" w:hAnsi="Garamond" w:cs="Garamond"/>
          <w:smallCaps/>
          <w:color w:val="000000"/>
        </w:rPr>
        <w:t xml:space="preserve">Surrogate </w:t>
      </w:r>
      <w:r w:rsidR="00843CB9" w:rsidRPr="00A43FD1">
        <w:rPr>
          <w:rFonts w:ascii="Garamond" w:eastAsia="Garamond" w:hAnsi="Garamond" w:cs="Garamond"/>
          <w:smallCaps/>
          <w:color w:val="000000"/>
        </w:rPr>
        <w:t>PAD</w:t>
      </w:r>
      <w:r w:rsidR="008A2632" w:rsidRPr="00A43FD1">
        <w:rPr>
          <w:rFonts w:ascii="Garamond" w:eastAsia="Garamond" w:hAnsi="Garamond" w:cs="Garamond"/>
          <w:smallCaps/>
          <w:color w:val="000000"/>
        </w:rPr>
        <w:t xml:space="preserve"> </w:t>
      </w:r>
      <w:r w:rsidR="008A2632" w:rsidRPr="00A43FD1">
        <w:rPr>
          <w:rFonts w:ascii="Garamond" w:eastAsia="Garamond" w:hAnsi="Garamond" w:cs="Garamond"/>
          <w:color w:val="000000"/>
        </w:rPr>
        <w:t>in all but the most distant surrogacy cases</w:t>
      </w:r>
      <w:r w:rsidRPr="00A43FD1">
        <w:rPr>
          <w:rFonts w:ascii="Garamond" w:eastAsia="Garamond" w:hAnsi="Garamond" w:cs="Garamond"/>
          <w:color w:val="000000"/>
        </w:rPr>
        <w:t xml:space="preserve">. </w:t>
      </w:r>
    </w:p>
    <w:p w14:paraId="7DC31328" w14:textId="746F97D9" w:rsidR="00E91839" w:rsidRPr="0080605C" w:rsidRDefault="000D2237" w:rsidP="00EA3155">
      <w:pPr>
        <w:spacing w:line="480" w:lineRule="auto"/>
        <w:ind w:firstLine="720"/>
        <w:jc w:val="both"/>
        <w:rPr>
          <w:rFonts w:ascii="Garamond" w:eastAsia="Garamond" w:hAnsi="Garamond" w:cs="Garamond"/>
          <w:color w:val="000000"/>
        </w:rPr>
      </w:pPr>
      <w:bookmarkStart w:id="2" w:name="_1fob9te" w:colFirst="0" w:colLast="0"/>
      <w:bookmarkEnd w:id="2"/>
      <w:r w:rsidRPr="002B5CD1">
        <w:rPr>
          <w:rFonts w:ascii="Garamond" w:eastAsia="Garamond" w:hAnsi="Garamond" w:cs="Garamond"/>
          <w:color w:val="000000"/>
        </w:rPr>
        <w:t xml:space="preserve">Our aim in this paper has ultimately been to provide a way out of the catch-22 </w:t>
      </w:r>
      <w:r w:rsidR="00482C1F">
        <w:rPr>
          <w:rFonts w:ascii="Garamond" w:eastAsia="Garamond" w:hAnsi="Garamond" w:cs="Garamond"/>
          <w:color w:val="000000"/>
        </w:rPr>
        <w:t xml:space="preserve">situation </w:t>
      </w:r>
      <w:r w:rsidRPr="002B5CD1">
        <w:rPr>
          <w:rFonts w:ascii="Garamond" w:eastAsia="Garamond" w:hAnsi="Garamond" w:cs="Garamond"/>
          <w:color w:val="000000"/>
        </w:rPr>
        <w:t xml:space="preserve">that current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legislation often forces upon terminally ill patients. One of the hopes for </w:t>
      </w:r>
      <w:r w:rsidR="00433431" w:rsidRPr="0080605C">
        <w:rPr>
          <w:rFonts w:ascii="Garamond" w:eastAsia="Garamond" w:hAnsi="Garamond" w:cs="Garamond"/>
          <w:color w:val="000000"/>
        </w:rPr>
        <w:t>medical aid in dying</w:t>
      </w:r>
      <w:r w:rsidRPr="0080605C">
        <w:rPr>
          <w:rFonts w:ascii="Garamond" w:eastAsia="Garamond" w:hAnsi="Garamond" w:cs="Garamond"/>
          <w:color w:val="000000"/>
        </w:rPr>
        <w:t xml:space="preserve"> is that it will make the ends of our lives less harrowing. Unlike much of what we fear in dying, dying in pain </w:t>
      </w:r>
      <w:r w:rsidR="002E4207" w:rsidRPr="0080605C">
        <w:rPr>
          <w:rFonts w:ascii="Garamond" w:eastAsia="Garamond" w:hAnsi="Garamond" w:cs="Garamond"/>
          <w:color w:val="000000"/>
        </w:rPr>
        <w:t xml:space="preserve">is avoidable. </w:t>
      </w:r>
      <w:r w:rsidR="008A2632" w:rsidRPr="0080605C">
        <w:rPr>
          <w:rFonts w:ascii="Garamond" w:eastAsia="Garamond" w:hAnsi="Garamond" w:cs="Garamond"/>
          <w:color w:val="000000"/>
        </w:rPr>
        <w:t>Physician-assisted death</w:t>
      </w:r>
      <w:r w:rsidRPr="0080605C">
        <w:rPr>
          <w:rFonts w:ascii="Garamond" w:eastAsia="Garamond" w:hAnsi="Garamond" w:cs="Garamond"/>
          <w:color w:val="000000"/>
        </w:rPr>
        <w:t xml:space="preserve"> thus has the power to give patients back some quality of life that may otherwise be lost throughout the </w:t>
      </w:r>
      <w:r w:rsidR="004105A5" w:rsidRPr="0080605C">
        <w:rPr>
          <w:rFonts w:ascii="Garamond" w:eastAsia="Garamond" w:hAnsi="Garamond" w:cs="Garamond"/>
          <w:color w:val="000000"/>
        </w:rPr>
        <w:t>dying process</w:t>
      </w:r>
      <w:r w:rsidRPr="0080605C">
        <w:rPr>
          <w:rFonts w:ascii="Garamond" w:eastAsia="Garamond" w:hAnsi="Garamond" w:cs="Garamond"/>
          <w:color w:val="000000"/>
        </w:rPr>
        <w:t>. As it is currently practiced</w:t>
      </w:r>
      <w:r w:rsidR="00EA3155" w:rsidRPr="0080605C">
        <w:rPr>
          <w:rFonts w:ascii="Garamond" w:eastAsia="Garamond" w:hAnsi="Garamond" w:cs="Garamond"/>
          <w:color w:val="000000"/>
        </w:rPr>
        <w:t xml:space="preserve"> in most jurisdictions</w:t>
      </w:r>
      <w:r w:rsidRPr="0080605C">
        <w:rPr>
          <w:rFonts w:ascii="Garamond" w:eastAsia="Garamond" w:hAnsi="Garamond" w:cs="Garamond"/>
          <w:color w:val="000000"/>
        </w:rPr>
        <w:t xml:space="preserve">, however,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also imposes a tragic dilemma on those considering it. If someone </w:t>
      </w:r>
      <w:r w:rsidR="002E4207" w:rsidRPr="0080605C">
        <w:rPr>
          <w:rFonts w:ascii="Garamond" w:eastAsia="Garamond" w:hAnsi="Garamond" w:cs="Garamond"/>
          <w:color w:val="000000"/>
        </w:rPr>
        <w:t xml:space="preserve">wants to end </w:t>
      </w:r>
      <w:r w:rsidR="00877269" w:rsidRPr="0080605C">
        <w:rPr>
          <w:rFonts w:ascii="Garamond" w:eastAsia="Garamond" w:hAnsi="Garamond" w:cs="Garamond"/>
          <w:color w:val="000000"/>
        </w:rPr>
        <w:t>their</w:t>
      </w:r>
      <w:r w:rsidR="002E4207" w:rsidRPr="0080605C">
        <w:rPr>
          <w:rFonts w:ascii="Garamond" w:eastAsia="Garamond" w:hAnsi="Garamond" w:cs="Garamond"/>
          <w:color w:val="000000"/>
        </w:rPr>
        <w:t xml:space="preserve"> life because </w:t>
      </w:r>
      <w:r w:rsidR="00877269" w:rsidRPr="0080605C">
        <w:rPr>
          <w:rFonts w:ascii="Garamond" w:eastAsia="Garamond" w:hAnsi="Garamond" w:cs="Garamond"/>
          <w:color w:val="000000"/>
        </w:rPr>
        <w:t>they</w:t>
      </w:r>
      <w:r w:rsidR="002E4207" w:rsidRPr="0080605C">
        <w:rPr>
          <w:rFonts w:ascii="Garamond" w:eastAsia="Garamond" w:hAnsi="Garamond" w:cs="Garamond"/>
          <w:color w:val="000000"/>
        </w:rPr>
        <w:t xml:space="preserve"> fear </w:t>
      </w:r>
      <w:r w:rsidRPr="0080605C">
        <w:rPr>
          <w:rFonts w:ascii="Garamond" w:eastAsia="Garamond" w:hAnsi="Garamond" w:cs="Garamond"/>
          <w:color w:val="000000"/>
        </w:rPr>
        <w:t xml:space="preserve">that </w:t>
      </w:r>
      <w:r w:rsidR="00877269" w:rsidRPr="0080605C">
        <w:rPr>
          <w:rFonts w:ascii="Garamond" w:eastAsia="Garamond" w:hAnsi="Garamond" w:cs="Garamond"/>
          <w:color w:val="000000"/>
        </w:rPr>
        <w:t>they</w:t>
      </w:r>
      <w:r w:rsidR="00832F64" w:rsidRPr="0080605C">
        <w:rPr>
          <w:rFonts w:ascii="Garamond" w:eastAsia="Garamond" w:hAnsi="Garamond" w:cs="Garamond"/>
          <w:color w:val="000000"/>
        </w:rPr>
        <w:t xml:space="preserve"> will otherwise face a prolonged death in unbearable agony</w:t>
      </w:r>
      <w:r w:rsidRPr="0080605C">
        <w:rPr>
          <w:rFonts w:ascii="Garamond" w:eastAsia="Garamond" w:hAnsi="Garamond" w:cs="Garamond"/>
          <w:color w:val="000000"/>
        </w:rPr>
        <w:t xml:space="preserve">, </w:t>
      </w:r>
      <w:r w:rsidR="00877269" w:rsidRPr="0080605C">
        <w:rPr>
          <w:rFonts w:ascii="Garamond" w:eastAsia="Garamond" w:hAnsi="Garamond" w:cs="Garamond"/>
          <w:color w:val="000000"/>
        </w:rPr>
        <w:t>they</w:t>
      </w:r>
      <w:r w:rsidRPr="0080605C">
        <w:rPr>
          <w:rFonts w:ascii="Garamond" w:eastAsia="Garamond" w:hAnsi="Garamond" w:cs="Garamond"/>
          <w:color w:val="000000"/>
        </w:rPr>
        <w:t xml:space="preserve"> may feel pressure to end things prematurely lest </w:t>
      </w:r>
      <w:r w:rsidR="00877269" w:rsidRPr="0080605C">
        <w:rPr>
          <w:rFonts w:ascii="Garamond" w:eastAsia="Garamond" w:hAnsi="Garamond" w:cs="Garamond"/>
          <w:color w:val="000000"/>
        </w:rPr>
        <w:t>they</w:t>
      </w:r>
      <w:r w:rsidRPr="0080605C">
        <w:rPr>
          <w:rFonts w:ascii="Garamond" w:eastAsia="Garamond" w:hAnsi="Garamond" w:cs="Garamond"/>
          <w:color w:val="000000"/>
        </w:rPr>
        <w:t xml:space="preserve"> </w:t>
      </w:r>
      <w:r w:rsidR="004105A5" w:rsidRPr="0080605C">
        <w:rPr>
          <w:rFonts w:ascii="Garamond" w:eastAsia="Garamond" w:hAnsi="Garamond" w:cs="Garamond"/>
          <w:color w:val="000000"/>
        </w:rPr>
        <w:t>risk losing</w:t>
      </w:r>
      <w:r w:rsidRPr="0080605C">
        <w:rPr>
          <w:rFonts w:ascii="Garamond" w:eastAsia="Garamond" w:hAnsi="Garamond" w:cs="Garamond"/>
          <w:color w:val="000000"/>
        </w:rPr>
        <w:t xml:space="preserve"> eligibility for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Audrey Parker lost out on potentially months of valuable life because she feared dying naturally from metastatic breast cancer. By reexamining our </w:t>
      </w:r>
      <w:r w:rsidR="00173C00" w:rsidRPr="0080605C">
        <w:rPr>
          <w:rFonts w:ascii="Garamond" w:eastAsia="Garamond" w:hAnsi="Garamond" w:cs="Garamond"/>
          <w:color w:val="000000"/>
        </w:rPr>
        <w:t xml:space="preserve">commitment to competency requirements for </w:t>
      </w:r>
      <w:r w:rsidR="00843CB9" w:rsidRPr="0080605C">
        <w:rPr>
          <w:rFonts w:ascii="Garamond" w:eastAsia="Garamond" w:hAnsi="Garamond" w:cs="Garamond"/>
          <w:color w:val="000000"/>
        </w:rPr>
        <w:t>PAD</w:t>
      </w:r>
      <w:r w:rsidRPr="0080605C">
        <w:rPr>
          <w:rFonts w:ascii="Garamond" w:eastAsia="Garamond" w:hAnsi="Garamond" w:cs="Garamond"/>
          <w:color w:val="000000"/>
        </w:rPr>
        <w:t xml:space="preserve">, we </w:t>
      </w:r>
      <w:r w:rsidR="00832F64" w:rsidRPr="0080605C">
        <w:rPr>
          <w:rFonts w:ascii="Garamond" w:eastAsia="Garamond" w:hAnsi="Garamond" w:cs="Garamond"/>
          <w:color w:val="000000"/>
        </w:rPr>
        <w:t>can</w:t>
      </w:r>
      <w:r w:rsidRPr="0080605C">
        <w:rPr>
          <w:rFonts w:ascii="Garamond" w:eastAsia="Garamond" w:hAnsi="Garamond" w:cs="Garamond"/>
          <w:color w:val="000000"/>
        </w:rPr>
        <w:t xml:space="preserve"> ensure that patients like Audrey </w:t>
      </w:r>
      <w:r w:rsidR="00832F64" w:rsidRPr="0080605C">
        <w:rPr>
          <w:rFonts w:ascii="Garamond" w:eastAsia="Garamond" w:hAnsi="Garamond" w:cs="Garamond"/>
          <w:color w:val="000000"/>
        </w:rPr>
        <w:t xml:space="preserve">will </w:t>
      </w:r>
      <w:r w:rsidRPr="0080605C">
        <w:rPr>
          <w:rFonts w:ascii="Garamond" w:eastAsia="Garamond" w:hAnsi="Garamond" w:cs="Garamond"/>
          <w:color w:val="000000"/>
        </w:rPr>
        <w:t xml:space="preserve">not face </w:t>
      </w:r>
      <w:r w:rsidR="00832F64" w:rsidRPr="0080605C">
        <w:rPr>
          <w:rFonts w:ascii="Garamond" w:eastAsia="Garamond" w:hAnsi="Garamond" w:cs="Garamond"/>
          <w:color w:val="000000"/>
        </w:rPr>
        <w:t xml:space="preserve">such </w:t>
      </w:r>
      <w:r w:rsidRPr="0080605C">
        <w:rPr>
          <w:rFonts w:ascii="Garamond" w:eastAsia="Garamond" w:hAnsi="Garamond" w:cs="Garamond"/>
          <w:color w:val="000000"/>
        </w:rPr>
        <w:t xml:space="preserve">dire </w:t>
      </w:r>
      <w:r w:rsidR="00832F64" w:rsidRPr="0080605C">
        <w:rPr>
          <w:rFonts w:ascii="Garamond" w:eastAsia="Garamond" w:hAnsi="Garamond" w:cs="Garamond"/>
          <w:color w:val="000000"/>
        </w:rPr>
        <w:t>choice</w:t>
      </w:r>
      <w:r w:rsidR="008A2632" w:rsidRPr="0080605C">
        <w:rPr>
          <w:rFonts w:ascii="Garamond" w:eastAsia="Garamond" w:hAnsi="Garamond" w:cs="Garamond"/>
          <w:color w:val="000000"/>
        </w:rPr>
        <w:t>s</w:t>
      </w:r>
      <w:r w:rsidR="00832F64" w:rsidRPr="0080605C">
        <w:rPr>
          <w:rFonts w:ascii="Garamond" w:eastAsia="Garamond" w:hAnsi="Garamond" w:cs="Garamond"/>
          <w:color w:val="000000"/>
        </w:rPr>
        <w:t xml:space="preserve"> in the future</w:t>
      </w:r>
      <w:r w:rsidRPr="0080605C">
        <w:rPr>
          <w:rFonts w:ascii="Garamond" w:eastAsia="Garamond" w:hAnsi="Garamond" w:cs="Garamond"/>
          <w:color w:val="000000"/>
        </w:rPr>
        <w:t>. </w:t>
      </w:r>
    </w:p>
    <w:p w14:paraId="44441755" w14:textId="77777777" w:rsidR="00DB3401" w:rsidRDefault="00DB3401" w:rsidP="00DB3401">
      <w:pPr>
        <w:rPr>
          <w:rFonts w:ascii="Garamond" w:hAnsi="Garamond"/>
          <w:b/>
        </w:rPr>
      </w:pPr>
      <w:r>
        <w:rPr>
          <w:rFonts w:ascii="Garamond" w:hAnsi="Garamond"/>
          <w:b/>
        </w:rPr>
        <w:t xml:space="preserve">Acknowledgments: </w:t>
      </w:r>
    </w:p>
    <w:p w14:paraId="033FE1B0" w14:textId="77777777" w:rsidR="00DB3401" w:rsidRDefault="00DB3401" w:rsidP="00DB3401">
      <w:pPr>
        <w:rPr>
          <w:rFonts w:ascii="Garamond" w:hAnsi="Garamond"/>
          <w:b/>
        </w:rPr>
      </w:pPr>
    </w:p>
    <w:p w14:paraId="44C1CD31" w14:textId="0761650F" w:rsidR="00DB3401" w:rsidRDefault="00DB3401" w:rsidP="00DB3401">
      <w:pPr>
        <w:rPr>
          <w:rFonts w:ascii="Garamond" w:hAnsi="Garamond"/>
        </w:rPr>
      </w:pPr>
      <w:r>
        <w:rPr>
          <w:rFonts w:ascii="Garamond" w:hAnsi="Garamond"/>
        </w:rPr>
        <w:t>The authors would like to thank Samuel Curtis, Tamara Fakhoury, Camil Golub, Daniel Groll, Daniel Hoek, Rachel Keith</w:t>
      </w:r>
      <w:r w:rsidR="00D363D9">
        <w:rPr>
          <w:rFonts w:ascii="Garamond" w:hAnsi="Garamond"/>
        </w:rPr>
        <w:t xml:space="preserve">, </w:t>
      </w:r>
      <w:r>
        <w:rPr>
          <w:rFonts w:ascii="Garamond" w:hAnsi="Garamond"/>
        </w:rPr>
        <w:t>Hallie Liberto</w:t>
      </w:r>
      <w:r w:rsidR="00D363D9">
        <w:rPr>
          <w:rFonts w:ascii="Garamond" w:hAnsi="Garamond"/>
        </w:rPr>
        <w:t xml:space="preserve">, </w:t>
      </w:r>
      <w:r w:rsidR="00A36384">
        <w:rPr>
          <w:rFonts w:ascii="Garamond" w:hAnsi="Garamond"/>
        </w:rPr>
        <w:t xml:space="preserve">Travis Timmerman, </w:t>
      </w:r>
      <w:bookmarkStart w:id="3" w:name="_GoBack"/>
      <w:bookmarkEnd w:id="3"/>
      <w:r w:rsidR="00D363D9">
        <w:rPr>
          <w:rFonts w:ascii="Garamond" w:hAnsi="Garamond"/>
        </w:rPr>
        <w:t xml:space="preserve">and an anonymous reviewer at this journal. </w:t>
      </w:r>
    </w:p>
    <w:p w14:paraId="562AB685" w14:textId="4202097B" w:rsidR="000D7B61" w:rsidRDefault="000D7B61" w:rsidP="00EA3155">
      <w:pPr>
        <w:spacing w:line="480" w:lineRule="auto"/>
        <w:jc w:val="both"/>
        <w:rPr>
          <w:rFonts w:ascii="Garamond" w:eastAsia="Garamond" w:hAnsi="Garamond" w:cs="Garamond"/>
          <w:color w:val="000000"/>
        </w:rPr>
      </w:pPr>
    </w:p>
    <w:p w14:paraId="63329247" w14:textId="71BC5E44" w:rsidR="00DB3401" w:rsidRDefault="00DB3401" w:rsidP="00EA3155">
      <w:pPr>
        <w:spacing w:line="480" w:lineRule="auto"/>
        <w:jc w:val="both"/>
        <w:rPr>
          <w:rFonts w:ascii="Garamond" w:eastAsia="Garamond" w:hAnsi="Garamond" w:cs="Garamond"/>
          <w:b/>
          <w:bCs/>
          <w:color w:val="000000"/>
        </w:rPr>
      </w:pPr>
      <w:r>
        <w:rPr>
          <w:rFonts w:ascii="Garamond" w:eastAsia="Garamond" w:hAnsi="Garamond" w:cs="Garamond"/>
          <w:b/>
          <w:bCs/>
          <w:color w:val="000000"/>
        </w:rPr>
        <w:t>Biographical Note</w:t>
      </w:r>
    </w:p>
    <w:p w14:paraId="661E8405" w14:textId="354D66C3" w:rsidR="00DB3401" w:rsidRDefault="00DB3401" w:rsidP="00DB3401">
      <w:pPr>
        <w:rPr>
          <w:rFonts w:ascii="Garamond" w:hAnsi="Garamond"/>
        </w:rPr>
      </w:pPr>
      <w:r>
        <w:rPr>
          <w:rFonts w:ascii="Garamond" w:hAnsi="Garamond"/>
        </w:rPr>
        <w:t xml:space="preserve">Jordan MacKenzie is an Assistant Professor of Philosophy at Virginia Tech. Her work has appeared in </w:t>
      </w:r>
      <w:r w:rsidR="00740AF9">
        <w:rPr>
          <w:rFonts w:ascii="Garamond" w:hAnsi="Garamond"/>
        </w:rPr>
        <w:t xml:space="preserve">venues such as </w:t>
      </w:r>
      <w:r>
        <w:rPr>
          <w:rFonts w:ascii="Garamond" w:hAnsi="Garamond"/>
          <w:i/>
        </w:rPr>
        <w:t xml:space="preserve">The Philosophical Quarterly, </w:t>
      </w:r>
      <w:r w:rsidR="00740AF9" w:rsidRPr="00740AF9">
        <w:rPr>
          <w:rFonts w:ascii="Garamond" w:hAnsi="Garamond"/>
          <w:i/>
        </w:rPr>
        <w:t>Bioethics</w:t>
      </w:r>
      <w:r w:rsidR="00740AF9">
        <w:rPr>
          <w:rFonts w:ascii="Garamond" w:hAnsi="Garamond"/>
        </w:rPr>
        <w:t xml:space="preserve">, </w:t>
      </w:r>
      <w:r w:rsidRPr="00740AF9">
        <w:rPr>
          <w:rFonts w:ascii="Garamond" w:hAnsi="Garamond"/>
          <w:i/>
        </w:rPr>
        <w:t>Res</w:t>
      </w:r>
      <w:r>
        <w:rPr>
          <w:rFonts w:ascii="Garamond" w:hAnsi="Garamond"/>
          <w:i/>
        </w:rPr>
        <w:t xml:space="preserve"> Philosophica</w:t>
      </w:r>
      <w:r>
        <w:rPr>
          <w:rFonts w:ascii="Garamond" w:hAnsi="Garamond"/>
        </w:rPr>
        <w:t xml:space="preserve">, </w:t>
      </w:r>
      <w:r>
        <w:rPr>
          <w:rFonts w:ascii="Garamond" w:hAnsi="Garamond"/>
          <w:i/>
        </w:rPr>
        <w:t>Journal of the American Philosophical Association</w:t>
      </w:r>
      <w:r>
        <w:rPr>
          <w:rFonts w:ascii="Garamond" w:hAnsi="Garamond"/>
        </w:rPr>
        <w:t xml:space="preserve">, and </w:t>
      </w:r>
      <w:r>
        <w:rPr>
          <w:rFonts w:ascii="Garamond" w:hAnsi="Garamond"/>
          <w:i/>
        </w:rPr>
        <w:t>The Hastings Center Report</w:t>
      </w:r>
      <w:r>
        <w:rPr>
          <w:rFonts w:ascii="Garamond" w:hAnsi="Garamond"/>
        </w:rPr>
        <w:t xml:space="preserve">. Adam Lerner is </w:t>
      </w:r>
      <w:r w:rsidR="00E72A38">
        <w:rPr>
          <w:rFonts w:ascii="Garamond" w:hAnsi="Garamond"/>
        </w:rPr>
        <w:t>a Lecturer at Princeton University.</w:t>
      </w:r>
      <w:r>
        <w:rPr>
          <w:rFonts w:ascii="Garamond" w:hAnsi="Garamond"/>
        </w:rPr>
        <w:t xml:space="preserve"> His work has appeared in venues such as </w:t>
      </w:r>
      <w:r>
        <w:rPr>
          <w:rFonts w:ascii="Garamond" w:hAnsi="Garamond"/>
          <w:i/>
        </w:rPr>
        <w:t>Oxford Studies in Metaethics</w:t>
      </w:r>
      <w:r>
        <w:rPr>
          <w:rFonts w:ascii="Garamond" w:hAnsi="Garamond"/>
        </w:rPr>
        <w:t xml:space="preserve">, </w:t>
      </w:r>
      <w:r>
        <w:rPr>
          <w:rFonts w:ascii="Garamond" w:hAnsi="Garamond"/>
          <w:i/>
        </w:rPr>
        <w:t>Philosophical Studies</w:t>
      </w:r>
      <w:r>
        <w:rPr>
          <w:rFonts w:ascii="Garamond" w:hAnsi="Garamond"/>
        </w:rPr>
        <w:t xml:space="preserve">, and </w:t>
      </w:r>
      <w:r>
        <w:rPr>
          <w:rFonts w:ascii="Garamond" w:hAnsi="Garamond"/>
          <w:i/>
        </w:rPr>
        <w:t>Philosophical Perspectives</w:t>
      </w:r>
      <w:r>
        <w:rPr>
          <w:rFonts w:ascii="Garamond" w:hAnsi="Garamond"/>
        </w:rPr>
        <w:t xml:space="preserve">. </w:t>
      </w:r>
    </w:p>
    <w:p w14:paraId="62795016" w14:textId="77777777" w:rsidR="00DB3401" w:rsidRPr="00DB3401" w:rsidRDefault="00DB3401" w:rsidP="00EA3155">
      <w:pPr>
        <w:spacing w:line="480" w:lineRule="auto"/>
        <w:jc w:val="both"/>
        <w:rPr>
          <w:rFonts w:ascii="Garamond" w:eastAsia="Garamond" w:hAnsi="Garamond" w:cs="Garamond"/>
          <w:color w:val="000000"/>
        </w:rPr>
      </w:pPr>
    </w:p>
    <w:p w14:paraId="1B3E5AD3" w14:textId="70A46783" w:rsidR="0060239C" w:rsidRDefault="0060239C" w:rsidP="00EA3155">
      <w:pPr>
        <w:spacing w:line="480" w:lineRule="auto"/>
        <w:jc w:val="both"/>
        <w:rPr>
          <w:rFonts w:ascii="Garamond" w:eastAsia="Garamond" w:hAnsi="Garamond" w:cs="Garamond"/>
          <w:color w:val="000000"/>
        </w:rPr>
      </w:pPr>
    </w:p>
    <w:p w14:paraId="6E23F02B" w14:textId="73C18AE4" w:rsidR="000C0332" w:rsidRDefault="000C0332" w:rsidP="00EA3155">
      <w:pPr>
        <w:spacing w:line="480" w:lineRule="auto"/>
        <w:jc w:val="both"/>
        <w:rPr>
          <w:rFonts w:ascii="Garamond" w:eastAsia="Garamond" w:hAnsi="Garamond" w:cs="Garamond"/>
          <w:color w:val="000000"/>
        </w:rPr>
      </w:pPr>
    </w:p>
    <w:p w14:paraId="62FA54F9" w14:textId="77777777" w:rsidR="000C0332" w:rsidRPr="0080605C" w:rsidRDefault="000C0332" w:rsidP="00EA3155">
      <w:pPr>
        <w:spacing w:line="480" w:lineRule="auto"/>
        <w:jc w:val="both"/>
        <w:rPr>
          <w:rFonts w:ascii="Garamond" w:eastAsia="Garamond" w:hAnsi="Garamond" w:cs="Garamond"/>
          <w:color w:val="000000"/>
        </w:rPr>
      </w:pPr>
    </w:p>
    <w:p w14:paraId="28543A29" w14:textId="77777777" w:rsidR="00DA32A9" w:rsidRPr="0080605C" w:rsidRDefault="00DA32A9" w:rsidP="00EA3155">
      <w:pPr>
        <w:jc w:val="both"/>
        <w:outlineLvl w:val="0"/>
        <w:rPr>
          <w:rFonts w:ascii="Garamond" w:eastAsia="Garamond" w:hAnsi="Garamond" w:cs="Garamond"/>
          <w:b/>
          <w:sz w:val="28"/>
        </w:rPr>
      </w:pPr>
      <w:r w:rsidRPr="0080605C">
        <w:rPr>
          <w:rFonts w:ascii="Garamond" w:eastAsia="Garamond" w:hAnsi="Garamond" w:cs="Garamond"/>
          <w:b/>
          <w:sz w:val="28"/>
        </w:rPr>
        <w:lastRenderedPageBreak/>
        <w:t>Bibliography</w:t>
      </w:r>
    </w:p>
    <w:p w14:paraId="42480079" w14:textId="77777777" w:rsidR="00DA32A9" w:rsidRPr="0080605C" w:rsidRDefault="00DA32A9" w:rsidP="00EA3155">
      <w:pPr>
        <w:jc w:val="both"/>
        <w:rPr>
          <w:rFonts w:ascii="Garamond" w:eastAsia="Garamond" w:hAnsi="Garamond" w:cs="Garamond"/>
        </w:rPr>
      </w:pPr>
    </w:p>
    <w:p w14:paraId="054FC9D6" w14:textId="6218263D" w:rsidR="00044969" w:rsidRPr="0080605C" w:rsidRDefault="00044969" w:rsidP="00EA3155">
      <w:pPr>
        <w:ind w:left="720" w:hanging="720"/>
        <w:jc w:val="both"/>
        <w:rPr>
          <w:rFonts w:ascii="Garamond" w:eastAsia="Garamond" w:hAnsi="Garamond" w:cs="Garamond"/>
        </w:rPr>
      </w:pPr>
    </w:p>
    <w:p w14:paraId="537FE34D" w14:textId="4F96118C" w:rsidR="00044969" w:rsidRPr="0080605C" w:rsidRDefault="00044969" w:rsidP="00EA3155">
      <w:pPr>
        <w:ind w:left="720" w:hanging="720"/>
        <w:jc w:val="both"/>
        <w:rPr>
          <w:rFonts w:ascii="Garamond" w:eastAsia="Garamond" w:hAnsi="Garamond" w:cs="Garamond"/>
        </w:rPr>
      </w:pPr>
      <w:r w:rsidRPr="0080605C">
        <w:rPr>
          <w:rFonts w:ascii="Garamond" w:eastAsia="Garamond" w:hAnsi="Garamond" w:cs="Garamond"/>
        </w:rPr>
        <w:t>Amarasekara, Kumar, and Mirko Bagaric. “Moving from Voluntary Euthanasia to Non-Voluntary Euth</w:t>
      </w:r>
      <w:r w:rsidR="00C64B1F" w:rsidRPr="0080605C">
        <w:rPr>
          <w:rFonts w:ascii="Garamond" w:eastAsia="Garamond" w:hAnsi="Garamond" w:cs="Garamond"/>
        </w:rPr>
        <w:t>an</w:t>
      </w:r>
      <w:r w:rsidRPr="0080605C">
        <w:rPr>
          <w:rFonts w:ascii="Garamond" w:eastAsia="Garamond" w:hAnsi="Garamond" w:cs="Garamond"/>
        </w:rPr>
        <w:t xml:space="preserve">asia: Equality and Compassion,” </w:t>
      </w:r>
      <w:r w:rsidRPr="0080605C">
        <w:rPr>
          <w:rFonts w:ascii="Garamond" w:eastAsia="Garamond" w:hAnsi="Garamond" w:cs="Garamond"/>
          <w:i/>
        </w:rPr>
        <w:t>Ratio Juris</w:t>
      </w:r>
      <w:r w:rsidRPr="0080605C">
        <w:rPr>
          <w:rFonts w:ascii="Garamond" w:eastAsia="Garamond" w:hAnsi="Garamond" w:cs="Garamond"/>
        </w:rPr>
        <w:t xml:space="preserve"> 17, no. 3 (2004): 398-423.</w:t>
      </w:r>
    </w:p>
    <w:p w14:paraId="3BBB7582" w14:textId="77777777" w:rsidR="00044969" w:rsidRPr="0080605C" w:rsidRDefault="00044969" w:rsidP="00EA3155">
      <w:pPr>
        <w:ind w:left="720" w:hanging="720"/>
        <w:jc w:val="both"/>
        <w:rPr>
          <w:rFonts w:ascii="Garamond" w:eastAsia="Garamond" w:hAnsi="Garamond" w:cs="Garamond"/>
        </w:rPr>
      </w:pPr>
    </w:p>
    <w:p w14:paraId="6BDEF9C0" w14:textId="58F3B08A" w:rsidR="00502F1A" w:rsidRDefault="00502F1A" w:rsidP="00EA3155">
      <w:pPr>
        <w:ind w:left="720" w:hanging="720"/>
        <w:jc w:val="both"/>
        <w:rPr>
          <w:rFonts w:ascii="Garamond" w:eastAsia="Garamond" w:hAnsi="Garamond" w:cs="Garamond"/>
        </w:rPr>
      </w:pPr>
      <w:r>
        <w:rPr>
          <w:rFonts w:ascii="Garamond" w:eastAsia="Garamond" w:hAnsi="Garamond" w:cs="Garamond"/>
        </w:rPr>
        <w:t xml:space="preserve">Appelbaum, Paul S. “Assessment of Patients’ Competence to Consent to Treatment,” </w:t>
      </w:r>
      <w:r>
        <w:rPr>
          <w:rFonts w:ascii="Garamond" w:eastAsia="Garamond" w:hAnsi="Garamond" w:cs="Garamond"/>
          <w:i/>
        </w:rPr>
        <w:t>New England Journal of Medicine</w:t>
      </w:r>
      <w:r>
        <w:rPr>
          <w:rFonts w:ascii="Garamond" w:eastAsia="Garamond" w:hAnsi="Garamond" w:cs="Garamond"/>
        </w:rPr>
        <w:t xml:space="preserve"> 357, no. 18 (2007): 1834-40. </w:t>
      </w:r>
    </w:p>
    <w:p w14:paraId="17C88E01" w14:textId="77777777" w:rsidR="00502F1A" w:rsidRPr="00502F1A" w:rsidRDefault="00502F1A" w:rsidP="00EA3155">
      <w:pPr>
        <w:ind w:left="720" w:hanging="720"/>
        <w:jc w:val="both"/>
        <w:rPr>
          <w:rFonts w:ascii="Garamond" w:eastAsia="Garamond" w:hAnsi="Garamond" w:cs="Garamond"/>
        </w:rPr>
      </w:pPr>
    </w:p>
    <w:p w14:paraId="5F470A08" w14:textId="1EF659C7"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Auriemma, Catherine L., Christina A. Nguyen, and Rachel Bronheim. “Stability of End-of-Life Preferences: A Systematic Review of the Evidence.” </w:t>
      </w:r>
      <w:r w:rsidRPr="0080605C">
        <w:rPr>
          <w:rFonts w:ascii="Garamond" w:eastAsia="Garamond" w:hAnsi="Garamond" w:cs="Garamond"/>
          <w:i/>
        </w:rPr>
        <w:t>Journal of the American Medical Association Internal Medicine</w:t>
      </w:r>
      <w:r w:rsidRPr="0080605C">
        <w:rPr>
          <w:rFonts w:ascii="Garamond" w:eastAsia="Garamond" w:hAnsi="Garamond" w:cs="Garamond"/>
        </w:rPr>
        <w:t xml:space="preserve"> 174, no. 7 (2014): 1085-1092. </w:t>
      </w:r>
    </w:p>
    <w:p w14:paraId="61A18CAC" w14:textId="77777777" w:rsidR="00DA32A9" w:rsidRPr="0080605C" w:rsidRDefault="00DA32A9" w:rsidP="00EA3155">
      <w:pPr>
        <w:jc w:val="both"/>
        <w:rPr>
          <w:rFonts w:ascii="Garamond" w:eastAsia="Garamond" w:hAnsi="Garamond" w:cs="Garamond"/>
        </w:rPr>
      </w:pPr>
    </w:p>
    <w:p w14:paraId="3DEC7346" w14:textId="2525A9E4"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Bernfort, Lars, Björn Gerdle, Magnus Husberg, and Lars-Åke Levin. “People in states worse than dead according to the EQ-5D UK value set: Would they rather be dead?” </w:t>
      </w:r>
      <w:r w:rsidRPr="0080605C">
        <w:rPr>
          <w:rFonts w:ascii="Garamond" w:eastAsia="Garamond" w:hAnsi="Garamond" w:cs="Garamond"/>
          <w:i/>
        </w:rPr>
        <w:t>Quality of Life Research</w:t>
      </w:r>
      <w:r w:rsidRPr="0080605C">
        <w:rPr>
          <w:rFonts w:ascii="Garamond" w:eastAsia="Garamond" w:hAnsi="Garamond" w:cs="Garamond"/>
        </w:rPr>
        <w:t xml:space="preserve"> 27 (2018): 1827-1833. </w:t>
      </w:r>
    </w:p>
    <w:p w14:paraId="5A192087" w14:textId="77777777" w:rsidR="00DA32A9" w:rsidRPr="0080605C" w:rsidRDefault="00DA32A9" w:rsidP="00EA3155">
      <w:pPr>
        <w:jc w:val="both"/>
        <w:rPr>
          <w:rFonts w:ascii="Garamond" w:eastAsia="Garamond" w:hAnsi="Garamond" w:cs="Garamond"/>
        </w:rPr>
      </w:pPr>
    </w:p>
    <w:p w14:paraId="01A4BDC6" w14:textId="6DC5719A" w:rsidR="00DA32A9" w:rsidRPr="0080605C" w:rsidRDefault="00DA32A9" w:rsidP="00EA3155">
      <w:pPr>
        <w:pStyle w:val="FootnoteText"/>
        <w:jc w:val="both"/>
        <w:outlineLvl w:val="0"/>
        <w:rPr>
          <w:rFonts w:ascii="Garamond" w:hAnsi="Garamond"/>
          <w:sz w:val="24"/>
        </w:rPr>
      </w:pPr>
      <w:r w:rsidRPr="0080605C">
        <w:rPr>
          <w:rFonts w:ascii="Garamond" w:hAnsi="Garamond"/>
          <w:sz w:val="24"/>
        </w:rPr>
        <w:t xml:space="preserve">Brock, Dan W. “Voluntary Active Euthanasia,” </w:t>
      </w:r>
      <w:r w:rsidRPr="0080605C">
        <w:rPr>
          <w:rFonts w:ascii="Garamond" w:hAnsi="Garamond"/>
          <w:i/>
          <w:sz w:val="24"/>
        </w:rPr>
        <w:t>The Hastings Center Report</w:t>
      </w:r>
      <w:r w:rsidRPr="0080605C">
        <w:rPr>
          <w:rFonts w:ascii="Garamond" w:hAnsi="Garamond"/>
          <w:sz w:val="24"/>
        </w:rPr>
        <w:t xml:space="preserve"> 22, no. 2</w:t>
      </w:r>
      <w:r w:rsidR="00272124" w:rsidRPr="0080605C">
        <w:rPr>
          <w:rFonts w:ascii="Garamond" w:hAnsi="Garamond"/>
          <w:sz w:val="24"/>
        </w:rPr>
        <w:t xml:space="preserve"> (1992)</w:t>
      </w:r>
      <w:r w:rsidRPr="0080605C">
        <w:rPr>
          <w:rFonts w:ascii="Garamond" w:hAnsi="Garamond"/>
          <w:sz w:val="24"/>
        </w:rPr>
        <w:t>: 10-22.</w:t>
      </w:r>
    </w:p>
    <w:p w14:paraId="0B52C6E4" w14:textId="77777777" w:rsidR="00DA32A9" w:rsidRPr="0080605C" w:rsidRDefault="00DA32A9" w:rsidP="00EA3155">
      <w:pPr>
        <w:ind w:left="720" w:hanging="720"/>
        <w:jc w:val="both"/>
        <w:rPr>
          <w:rFonts w:ascii="Garamond" w:eastAsia="Garamond" w:hAnsi="Garamond" w:cs="Garamond"/>
        </w:rPr>
      </w:pPr>
    </w:p>
    <w:p w14:paraId="3A315741" w14:textId="3A494471" w:rsidR="00044969" w:rsidRPr="0080605C" w:rsidRDefault="00044969" w:rsidP="00EA3155">
      <w:pPr>
        <w:ind w:left="720" w:hanging="720"/>
        <w:jc w:val="both"/>
        <w:rPr>
          <w:rFonts w:ascii="Garamond" w:eastAsia="Garamond" w:hAnsi="Garamond" w:cs="Garamond"/>
        </w:rPr>
      </w:pPr>
      <w:r w:rsidRPr="0080605C">
        <w:rPr>
          <w:rFonts w:ascii="Garamond" w:eastAsia="Garamond" w:hAnsi="Garamond" w:cs="Garamond"/>
        </w:rPr>
        <w:t xml:space="preserve">Buchanan, Allan and Dan M. Brock. </w:t>
      </w:r>
      <w:r w:rsidRPr="0080605C">
        <w:rPr>
          <w:rFonts w:ascii="Garamond" w:eastAsia="Garamond" w:hAnsi="Garamond" w:cs="Garamond"/>
          <w:i/>
        </w:rPr>
        <w:t xml:space="preserve">Deciding for Others: The Ethics of Surrogate Decision-Making. </w:t>
      </w:r>
      <w:r w:rsidRPr="0080605C">
        <w:rPr>
          <w:rFonts w:ascii="Garamond" w:eastAsia="Garamond" w:hAnsi="Garamond" w:cs="Garamond"/>
        </w:rPr>
        <w:t>Cambridge: Cambridge University Press (</w:t>
      </w:r>
      <w:r w:rsidR="007F1ED1" w:rsidRPr="0080605C">
        <w:rPr>
          <w:rFonts w:ascii="Garamond" w:eastAsia="Garamond" w:hAnsi="Garamond" w:cs="Garamond"/>
        </w:rPr>
        <w:t>1989</w:t>
      </w:r>
      <w:r w:rsidRPr="0080605C">
        <w:rPr>
          <w:rFonts w:ascii="Garamond" w:eastAsia="Garamond" w:hAnsi="Garamond" w:cs="Garamond"/>
        </w:rPr>
        <w:t xml:space="preserve">). </w:t>
      </w:r>
    </w:p>
    <w:p w14:paraId="2C500A59" w14:textId="6D353760" w:rsidR="00DA32A9" w:rsidRPr="0080605C" w:rsidRDefault="00DA32A9" w:rsidP="00EA3155">
      <w:pPr>
        <w:ind w:left="720" w:hanging="720"/>
        <w:jc w:val="both"/>
        <w:rPr>
          <w:rFonts w:ascii="Garamond" w:eastAsia="Garamond" w:hAnsi="Garamond" w:cs="Garamond"/>
        </w:rPr>
      </w:pPr>
    </w:p>
    <w:p w14:paraId="3CC41E72" w14:textId="3D32F5E6" w:rsidR="00044969" w:rsidRPr="0080605C" w:rsidRDefault="00DA32A9" w:rsidP="00EA3155">
      <w:pPr>
        <w:ind w:left="720" w:hanging="720"/>
        <w:jc w:val="both"/>
        <w:outlineLvl w:val="0"/>
        <w:rPr>
          <w:rFonts w:ascii="Garamond" w:hAnsi="Garamond"/>
        </w:rPr>
      </w:pPr>
      <w:r w:rsidRPr="0080605C">
        <w:rPr>
          <w:rFonts w:ascii="Garamond" w:hAnsi="Garamond"/>
        </w:rPr>
        <w:t xml:space="preserve">Dworkin, Ronald. </w:t>
      </w:r>
      <w:r w:rsidR="00044969" w:rsidRPr="0080605C">
        <w:rPr>
          <w:rFonts w:ascii="Garamond" w:hAnsi="Garamond"/>
        </w:rPr>
        <w:t xml:space="preserve">“Autonomy and the Demented Self.” </w:t>
      </w:r>
      <w:r w:rsidR="00044969" w:rsidRPr="0080605C">
        <w:rPr>
          <w:rFonts w:ascii="Garamond" w:hAnsi="Garamond"/>
          <w:i/>
        </w:rPr>
        <w:t>Millbank Quarterly</w:t>
      </w:r>
      <w:r w:rsidR="00044969" w:rsidRPr="0080605C">
        <w:rPr>
          <w:rFonts w:ascii="Garamond" w:hAnsi="Garamond"/>
        </w:rPr>
        <w:t xml:space="preserve">, 64, no. 2 (1986): 4-16. </w:t>
      </w:r>
    </w:p>
    <w:p w14:paraId="450E4FC4" w14:textId="77777777" w:rsidR="00044969" w:rsidRPr="0080605C" w:rsidRDefault="00044969" w:rsidP="00EA3155">
      <w:pPr>
        <w:ind w:left="720" w:hanging="720"/>
        <w:jc w:val="both"/>
        <w:rPr>
          <w:rFonts w:ascii="Garamond" w:hAnsi="Garamond"/>
          <w:i/>
        </w:rPr>
      </w:pPr>
    </w:p>
    <w:p w14:paraId="6A80A3C1" w14:textId="77777777" w:rsidR="00044969" w:rsidRPr="0080605C" w:rsidRDefault="00044969" w:rsidP="00EA3155">
      <w:pPr>
        <w:jc w:val="both"/>
        <w:rPr>
          <w:rFonts w:ascii="Garamond" w:hAnsi="Garamond"/>
        </w:rPr>
      </w:pPr>
      <w:r w:rsidRPr="0080605C">
        <w:rPr>
          <w:rFonts w:ascii="Garamond" w:hAnsi="Garamond"/>
          <w:i/>
        </w:rPr>
        <w:t>-------------</w:t>
      </w:r>
      <w:r w:rsidR="00DA32A9" w:rsidRPr="0080605C">
        <w:rPr>
          <w:rFonts w:ascii="Garamond" w:hAnsi="Garamond"/>
          <w:i/>
        </w:rPr>
        <w:t>Life’s Dominion: An Argument About Abortion, Euthanasia and Individual Freedom</w:t>
      </w:r>
      <w:r w:rsidR="00DA32A9" w:rsidRPr="0080605C">
        <w:rPr>
          <w:rFonts w:ascii="Garamond" w:hAnsi="Garamond"/>
        </w:rPr>
        <w:t xml:space="preserve">. New York: </w:t>
      </w:r>
    </w:p>
    <w:p w14:paraId="2D9A5397" w14:textId="1B320F46" w:rsidR="00DA32A9" w:rsidRPr="0080605C" w:rsidRDefault="00DA32A9" w:rsidP="00EA3155">
      <w:pPr>
        <w:ind w:firstLine="720"/>
        <w:jc w:val="both"/>
        <w:rPr>
          <w:rFonts w:ascii="Garamond" w:hAnsi="Garamond"/>
        </w:rPr>
      </w:pPr>
      <w:r w:rsidRPr="0080605C">
        <w:rPr>
          <w:rFonts w:ascii="Garamond" w:hAnsi="Garamond"/>
        </w:rPr>
        <w:t>Knopf, 1993.</w:t>
      </w:r>
    </w:p>
    <w:p w14:paraId="61FA761D" w14:textId="77777777" w:rsidR="00DA32A9" w:rsidRPr="0080605C" w:rsidRDefault="00DA32A9" w:rsidP="00EA3155">
      <w:pPr>
        <w:jc w:val="both"/>
        <w:rPr>
          <w:rFonts w:ascii="Garamond" w:eastAsia="Garamond" w:hAnsi="Garamond" w:cs="Garamond"/>
        </w:rPr>
      </w:pPr>
    </w:p>
    <w:p w14:paraId="70632C0F" w14:textId="3FA68206" w:rsidR="00272124"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Emanuel, Ezekiel J., Bregje D. Onwuteaka-Philipsen, and John W. Urwin. “Attitudes and Practices of Euthanasia and Physician-Assisted Suicide in the United States, Canada, and Europe.” </w:t>
      </w:r>
      <w:r w:rsidRPr="0080605C">
        <w:rPr>
          <w:rFonts w:ascii="Garamond" w:eastAsia="Garamond" w:hAnsi="Garamond" w:cs="Garamond"/>
          <w:i/>
        </w:rPr>
        <w:t>Journal of the American Medical Association</w:t>
      </w:r>
      <w:r w:rsidRPr="0080605C">
        <w:rPr>
          <w:rFonts w:ascii="Garamond" w:eastAsia="Garamond" w:hAnsi="Garamond" w:cs="Garamond"/>
        </w:rPr>
        <w:t xml:space="preserve"> 316, no.1 (2016): 79-90. </w:t>
      </w:r>
    </w:p>
    <w:p w14:paraId="629B95BB" w14:textId="77777777" w:rsidR="00DA32A9" w:rsidRPr="0080605C" w:rsidRDefault="00DA32A9" w:rsidP="00EA3155">
      <w:pPr>
        <w:ind w:left="720" w:hanging="720"/>
        <w:jc w:val="both"/>
        <w:rPr>
          <w:rFonts w:ascii="Garamond" w:eastAsia="Garamond" w:hAnsi="Garamond" w:cs="Garamond"/>
        </w:rPr>
      </w:pPr>
    </w:p>
    <w:p w14:paraId="05CC04AC" w14:textId="77777777"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Enoch, David. “Hypothetical Consent and the Value(s) of Autonomy.” </w:t>
      </w:r>
      <w:r w:rsidRPr="0080605C">
        <w:rPr>
          <w:rFonts w:ascii="Garamond" w:eastAsia="Garamond" w:hAnsi="Garamond" w:cs="Garamond"/>
          <w:i/>
        </w:rPr>
        <w:t xml:space="preserve">Ethics </w:t>
      </w:r>
      <w:r w:rsidRPr="0080605C">
        <w:rPr>
          <w:rFonts w:ascii="Garamond" w:eastAsia="Garamond" w:hAnsi="Garamond" w:cs="Garamond"/>
        </w:rPr>
        <w:t xml:space="preserve">128 (October 2017): 6-36. </w:t>
      </w:r>
    </w:p>
    <w:p w14:paraId="01306F0D" w14:textId="3A20EA23" w:rsidR="00366BF2" w:rsidRPr="0080605C" w:rsidRDefault="00366BF2" w:rsidP="00EF1124">
      <w:pPr>
        <w:jc w:val="both"/>
        <w:rPr>
          <w:rFonts w:ascii="Garamond" w:eastAsia="Garamond" w:hAnsi="Garamond" w:cs="Garamond"/>
        </w:rPr>
      </w:pPr>
    </w:p>
    <w:p w14:paraId="5420FC9F" w14:textId="5D30DBB0" w:rsidR="00366BF2" w:rsidRPr="0080605C" w:rsidRDefault="00366BF2" w:rsidP="00EA3155">
      <w:pPr>
        <w:jc w:val="both"/>
        <w:rPr>
          <w:rFonts w:ascii="Garamond" w:eastAsia="Times New Roman" w:hAnsi="Garamond" w:cs="Times New Roman"/>
        </w:rPr>
      </w:pPr>
      <w:r w:rsidRPr="0080605C">
        <w:rPr>
          <w:rFonts w:ascii="Garamond" w:eastAsia="Times New Roman" w:hAnsi="Garamond" w:cs="Times New Roman"/>
        </w:rPr>
        <w:t xml:space="preserve">Foot, Philippa. “Killing and Letting Die.” In </w:t>
      </w:r>
      <w:r w:rsidRPr="0080605C">
        <w:rPr>
          <w:rFonts w:ascii="Garamond" w:eastAsia="Times New Roman" w:hAnsi="Garamond" w:cs="Times New Roman"/>
          <w:i/>
          <w:iCs/>
        </w:rPr>
        <w:t>Abortion, Moral and Legal Perspectives</w:t>
      </w:r>
      <w:r w:rsidRPr="0080605C">
        <w:rPr>
          <w:rFonts w:ascii="Garamond" w:eastAsia="Times New Roman" w:hAnsi="Garamond" w:cs="Times New Roman"/>
        </w:rPr>
        <w:t xml:space="preserve">, edited by </w:t>
      </w:r>
    </w:p>
    <w:p w14:paraId="560AEFA0" w14:textId="77777777" w:rsidR="00366BF2" w:rsidRPr="0080605C" w:rsidRDefault="00366BF2" w:rsidP="00EA3155">
      <w:pPr>
        <w:ind w:firstLine="720"/>
        <w:jc w:val="both"/>
        <w:rPr>
          <w:rFonts w:ascii="Garamond" w:eastAsia="Times New Roman" w:hAnsi="Garamond" w:cs="Times New Roman"/>
        </w:rPr>
      </w:pPr>
      <w:r w:rsidRPr="0080605C">
        <w:rPr>
          <w:rFonts w:ascii="Garamond" w:eastAsia="Times New Roman" w:hAnsi="Garamond" w:cs="Times New Roman"/>
        </w:rPr>
        <w:t xml:space="preserve">Patricia Hennessy and Jay L. Garfield, 355–82. Amherst: University of Massachusetts Press, </w:t>
      </w:r>
    </w:p>
    <w:p w14:paraId="1BC32533" w14:textId="0069777F" w:rsidR="00366BF2" w:rsidRPr="0080605C" w:rsidRDefault="00366BF2" w:rsidP="00EA3155">
      <w:pPr>
        <w:ind w:left="720"/>
        <w:jc w:val="both"/>
        <w:rPr>
          <w:rFonts w:ascii="Garamond" w:eastAsia="Times New Roman" w:hAnsi="Garamond" w:cs="Times New Roman"/>
        </w:rPr>
      </w:pPr>
      <w:r w:rsidRPr="0080605C">
        <w:rPr>
          <w:rFonts w:ascii="Garamond" w:eastAsia="Times New Roman" w:hAnsi="Garamond" w:cs="Times New Roman"/>
        </w:rPr>
        <w:t xml:space="preserve">1984. </w:t>
      </w:r>
    </w:p>
    <w:p w14:paraId="256427B5" w14:textId="0E5420DA" w:rsidR="00366BF2" w:rsidRPr="0080605C" w:rsidRDefault="00366BF2" w:rsidP="00EA3155">
      <w:pPr>
        <w:jc w:val="both"/>
        <w:rPr>
          <w:rFonts w:ascii="Garamond" w:eastAsia="Garamond" w:hAnsi="Garamond" w:cs="Garamond"/>
        </w:rPr>
      </w:pPr>
    </w:p>
    <w:p w14:paraId="210B6B63" w14:textId="77777777" w:rsidR="00E7629F" w:rsidRDefault="00E7629F" w:rsidP="00EA3155">
      <w:pPr>
        <w:jc w:val="both"/>
        <w:rPr>
          <w:rFonts w:ascii="Garamond" w:eastAsia="Times New Roman" w:hAnsi="Garamond" w:cs="Times New Roman"/>
        </w:rPr>
      </w:pPr>
      <w:r>
        <w:rPr>
          <w:rFonts w:ascii="Garamond" w:eastAsia="Times New Roman" w:hAnsi="Garamond" w:cs="Times New Roman"/>
        </w:rPr>
        <w:t xml:space="preserve">Golden, Marilyn and Tyler Zoanni. “Killing Us Softly: The Dangers of Legalizing Assisted Suicide.” </w:t>
      </w:r>
    </w:p>
    <w:p w14:paraId="7E619E8A" w14:textId="6436B004" w:rsidR="00E7629F" w:rsidRDefault="00E7629F" w:rsidP="002632AA">
      <w:pPr>
        <w:ind w:firstLine="720"/>
        <w:jc w:val="both"/>
        <w:rPr>
          <w:rFonts w:ascii="Garamond" w:eastAsia="Times New Roman" w:hAnsi="Garamond" w:cs="Times New Roman"/>
        </w:rPr>
      </w:pPr>
      <w:r>
        <w:rPr>
          <w:rFonts w:ascii="Garamond" w:eastAsia="Times New Roman" w:hAnsi="Garamond" w:cs="Times New Roman"/>
          <w:i/>
        </w:rPr>
        <w:t>Disability and Health Journal</w:t>
      </w:r>
      <w:r>
        <w:rPr>
          <w:rFonts w:ascii="Garamond" w:eastAsia="Times New Roman" w:hAnsi="Garamond" w:cs="Times New Roman"/>
        </w:rPr>
        <w:t xml:space="preserve"> 3 (2010): 16-30. </w:t>
      </w:r>
    </w:p>
    <w:p w14:paraId="7FB52AC4" w14:textId="77777777" w:rsidR="00E7629F" w:rsidRPr="00E7629F" w:rsidRDefault="00E7629F" w:rsidP="00EA3155">
      <w:pPr>
        <w:jc w:val="both"/>
        <w:rPr>
          <w:rFonts w:ascii="Garamond" w:eastAsia="Times New Roman" w:hAnsi="Garamond" w:cs="Times New Roman"/>
        </w:rPr>
      </w:pPr>
    </w:p>
    <w:p w14:paraId="0F71CDAC" w14:textId="4D959428" w:rsidR="00800032" w:rsidRPr="00E7629F" w:rsidRDefault="00022563" w:rsidP="00EA3155">
      <w:pPr>
        <w:jc w:val="both"/>
        <w:rPr>
          <w:rFonts w:ascii="Garamond" w:eastAsia="Times New Roman" w:hAnsi="Garamond" w:cs="Times New Roman"/>
        </w:rPr>
      </w:pPr>
      <w:r w:rsidRPr="00E7629F">
        <w:rPr>
          <w:rFonts w:ascii="Garamond" w:eastAsia="Times New Roman" w:hAnsi="Garamond" w:cs="Times New Roman"/>
        </w:rPr>
        <w:t xml:space="preserve">Hanvey, Louise, Carolyn Taylor, and Doris Barwich. “What Do Canadians Think of Advance </w:t>
      </w:r>
    </w:p>
    <w:p w14:paraId="1FB57DAD" w14:textId="1BEC08C4" w:rsidR="00022563" w:rsidRPr="00C4717A" w:rsidRDefault="00022563" w:rsidP="00EA3155">
      <w:pPr>
        <w:ind w:left="720"/>
        <w:jc w:val="both"/>
        <w:rPr>
          <w:rFonts w:ascii="Garamond" w:eastAsia="Times New Roman" w:hAnsi="Garamond" w:cs="Times New Roman"/>
        </w:rPr>
      </w:pPr>
      <w:r w:rsidRPr="00E7629F">
        <w:rPr>
          <w:rFonts w:ascii="Garamond" w:eastAsia="Times New Roman" w:hAnsi="Garamond" w:cs="Times New Roman"/>
        </w:rPr>
        <w:t xml:space="preserve">Planning? Findings From an Online Opinion Poll.” </w:t>
      </w:r>
      <w:r w:rsidRPr="00E7629F">
        <w:rPr>
          <w:rFonts w:ascii="Garamond" w:eastAsia="Times New Roman" w:hAnsi="Garamond" w:cs="Times New Roman"/>
          <w:i/>
        </w:rPr>
        <w:t>BMJ Supportive &amp; Palliative Care</w:t>
      </w:r>
      <w:r w:rsidRPr="00E7629F">
        <w:rPr>
          <w:rFonts w:ascii="Garamond" w:eastAsia="Times New Roman" w:hAnsi="Garamond" w:cs="Times New Roman"/>
        </w:rPr>
        <w:t xml:space="preserve"> (2013): 1-8.</w:t>
      </w:r>
    </w:p>
    <w:p w14:paraId="50359E90" w14:textId="77777777" w:rsidR="00022563" w:rsidRPr="005B1297" w:rsidRDefault="00022563" w:rsidP="00EA3155">
      <w:pPr>
        <w:jc w:val="both"/>
        <w:rPr>
          <w:rFonts w:ascii="Garamond" w:eastAsia="Times New Roman" w:hAnsi="Garamond" w:cs="Times New Roman"/>
        </w:rPr>
      </w:pPr>
    </w:p>
    <w:p w14:paraId="616420E2" w14:textId="77777777" w:rsidR="00C92A8F" w:rsidRPr="00A43FD1" w:rsidRDefault="00366BF2" w:rsidP="00EA3155">
      <w:pPr>
        <w:jc w:val="both"/>
        <w:rPr>
          <w:rFonts w:ascii="Garamond" w:eastAsia="Times New Roman" w:hAnsi="Garamond" w:cs="Times New Roman"/>
        </w:rPr>
      </w:pPr>
      <w:r w:rsidRPr="005B1297">
        <w:rPr>
          <w:rFonts w:ascii="Garamond" w:eastAsia="Times New Roman" w:hAnsi="Garamond" w:cs="Times New Roman"/>
        </w:rPr>
        <w:t xml:space="preserve">Kamm, F. M. </w:t>
      </w:r>
      <w:r w:rsidRPr="005B1297">
        <w:rPr>
          <w:rFonts w:ascii="Garamond" w:eastAsia="Times New Roman" w:hAnsi="Garamond" w:cs="Times New Roman"/>
          <w:i/>
          <w:iCs/>
        </w:rPr>
        <w:t xml:space="preserve">Intricate Ethics: Rights, Responsibilities, and </w:t>
      </w:r>
      <w:r w:rsidRPr="00A43FD1">
        <w:rPr>
          <w:rFonts w:ascii="Garamond" w:eastAsia="Times New Roman" w:hAnsi="Garamond" w:cs="Times New Roman"/>
          <w:i/>
          <w:iCs/>
        </w:rPr>
        <w:t>Permissible Harm</w:t>
      </w:r>
      <w:r w:rsidRPr="00A43FD1">
        <w:rPr>
          <w:rFonts w:ascii="Garamond" w:eastAsia="Times New Roman" w:hAnsi="Garamond" w:cs="Times New Roman"/>
        </w:rPr>
        <w:t xml:space="preserve">. Oxford University Press. </w:t>
      </w:r>
    </w:p>
    <w:p w14:paraId="7EC9086D" w14:textId="5E056877" w:rsidR="00366BF2" w:rsidRPr="002B5CD1" w:rsidRDefault="00366BF2" w:rsidP="00EA3155">
      <w:pPr>
        <w:ind w:firstLine="720"/>
        <w:jc w:val="both"/>
        <w:rPr>
          <w:rFonts w:ascii="Garamond" w:eastAsia="Times New Roman" w:hAnsi="Garamond" w:cs="Times New Roman"/>
        </w:rPr>
      </w:pPr>
      <w:r w:rsidRPr="001A26FE">
        <w:rPr>
          <w:rFonts w:ascii="Garamond" w:eastAsia="Times New Roman" w:hAnsi="Garamond" w:cs="Times New Roman"/>
        </w:rPr>
        <w:t xml:space="preserve">Accessed May 16, </w:t>
      </w:r>
      <w:r w:rsidR="007F1ED1" w:rsidRPr="00FA5798">
        <w:rPr>
          <w:rFonts w:ascii="Garamond" w:eastAsia="Times New Roman" w:hAnsi="Garamond" w:cs="Times New Roman"/>
        </w:rPr>
        <w:t>2007</w:t>
      </w:r>
      <w:r w:rsidRPr="002B5CD1">
        <w:rPr>
          <w:rFonts w:ascii="Garamond" w:eastAsia="Times New Roman" w:hAnsi="Garamond" w:cs="Times New Roman"/>
        </w:rPr>
        <w:t xml:space="preserve">. </w:t>
      </w:r>
    </w:p>
    <w:p w14:paraId="2E1F0116" w14:textId="77777777" w:rsidR="00DA32A9" w:rsidRPr="002B5CD1" w:rsidRDefault="00DA32A9" w:rsidP="00EA3155">
      <w:pPr>
        <w:jc w:val="both"/>
        <w:rPr>
          <w:rFonts w:ascii="Garamond" w:eastAsia="Garamond" w:hAnsi="Garamond" w:cs="Garamond"/>
        </w:rPr>
      </w:pPr>
    </w:p>
    <w:p w14:paraId="3FDC50A7" w14:textId="1A027757" w:rsidR="00044969" w:rsidRPr="0080605C" w:rsidRDefault="00044969" w:rsidP="00EA3155">
      <w:pPr>
        <w:ind w:left="720" w:hanging="720"/>
        <w:jc w:val="both"/>
        <w:rPr>
          <w:rFonts w:ascii="Garamond" w:eastAsia="Garamond" w:hAnsi="Garamond" w:cs="Garamond"/>
        </w:rPr>
      </w:pPr>
      <w:r w:rsidRPr="0080605C">
        <w:rPr>
          <w:rFonts w:ascii="Garamond" w:eastAsia="Garamond" w:hAnsi="Garamond" w:cs="Garamond"/>
        </w:rPr>
        <w:t xml:space="preserve">Keown, John. </w:t>
      </w:r>
      <w:r w:rsidRPr="0080605C">
        <w:rPr>
          <w:rFonts w:ascii="Garamond" w:eastAsia="Garamond" w:hAnsi="Garamond" w:cs="Garamond"/>
          <w:i/>
        </w:rPr>
        <w:t>Euthanasia, Ethics and Public Policy: An Argument Against Legalization</w:t>
      </w:r>
      <w:r w:rsidRPr="0080605C">
        <w:rPr>
          <w:rFonts w:ascii="Garamond" w:eastAsia="Garamond" w:hAnsi="Garamond" w:cs="Garamond"/>
        </w:rPr>
        <w:t xml:space="preserve">. Cambridge: </w:t>
      </w:r>
      <w:r w:rsidR="00735FCE">
        <w:rPr>
          <w:rFonts w:ascii="Garamond" w:eastAsia="Garamond" w:hAnsi="Garamond" w:cs="Garamond"/>
        </w:rPr>
        <w:t>Cambridge</w:t>
      </w:r>
      <w:r w:rsidRPr="0080605C">
        <w:rPr>
          <w:rFonts w:ascii="Garamond" w:eastAsia="Garamond" w:hAnsi="Garamond" w:cs="Garamond"/>
        </w:rPr>
        <w:t xml:space="preserve"> University Press (2002). </w:t>
      </w:r>
    </w:p>
    <w:p w14:paraId="562A9BF9" w14:textId="77777777" w:rsidR="00044969" w:rsidRPr="0080605C" w:rsidRDefault="00044969" w:rsidP="00EA3155">
      <w:pPr>
        <w:jc w:val="both"/>
        <w:rPr>
          <w:rFonts w:ascii="Garamond" w:eastAsia="Garamond" w:hAnsi="Garamond" w:cs="Garamond"/>
        </w:rPr>
      </w:pPr>
    </w:p>
    <w:p w14:paraId="7CBE0A1E" w14:textId="77777777" w:rsidR="00EF1124" w:rsidRPr="0080605C" w:rsidRDefault="00EF1124" w:rsidP="00EF1124">
      <w:pPr>
        <w:ind w:left="720" w:hanging="720"/>
        <w:jc w:val="both"/>
        <w:rPr>
          <w:rFonts w:ascii="Garamond" w:eastAsia="Garamond" w:hAnsi="Garamond" w:cs="Garamond"/>
        </w:rPr>
      </w:pPr>
      <w:r w:rsidRPr="0080605C">
        <w:rPr>
          <w:rFonts w:ascii="Garamond" w:eastAsia="Garamond" w:hAnsi="Garamond" w:cs="Garamond"/>
        </w:rPr>
        <w:t xml:space="preserve">Kuhse, Helga. “Some Reflections on the Problem of Advance Directives, Personhood, and Personal Identity.” </w:t>
      </w:r>
      <w:r w:rsidRPr="0080605C">
        <w:rPr>
          <w:rFonts w:ascii="Garamond" w:eastAsia="Garamond" w:hAnsi="Garamond" w:cs="Garamond"/>
          <w:i/>
        </w:rPr>
        <w:t>Kennedy Institute of Ethics Journal</w:t>
      </w:r>
      <w:r w:rsidRPr="0080605C">
        <w:rPr>
          <w:rFonts w:ascii="Garamond" w:eastAsia="Garamond" w:hAnsi="Garamond" w:cs="Garamond"/>
        </w:rPr>
        <w:t xml:space="preserve"> 9 (1999). </w:t>
      </w:r>
    </w:p>
    <w:p w14:paraId="1D65E58F" w14:textId="77777777" w:rsidR="00EF1124" w:rsidRPr="0080605C" w:rsidRDefault="00EF1124" w:rsidP="00EA3155">
      <w:pPr>
        <w:ind w:left="720" w:hanging="720"/>
        <w:jc w:val="both"/>
        <w:rPr>
          <w:rFonts w:ascii="Garamond" w:eastAsia="Garamond" w:hAnsi="Garamond" w:cs="Garamond"/>
        </w:rPr>
      </w:pPr>
    </w:p>
    <w:p w14:paraId="76796202" w14:textId="4FFC4EBF"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Lacey, Heather P., Dylan M. Smith, and Peter A. Ubel. “Hope I Die Before I Get Old: Mispredicting Happiness Across the Adult Lifespan.” </w:t>
      </w:r>
      <w:r w:rsidRPr="0080605C">
        <w:rPr>
          <w:rFonts w:ascii="Garamond" w:eastAsia="Garamond" w:hAnsi="Garamond" w:cs="Garamond"/>
          <w:i/>
        </w:rPr>
        <w:t>Journal of Happiness Studies</w:t>
      </w:r>
      <w:r w:rsidRPr="0080605C">
        <w:rPr>
          <w:rFonts w:ascii="Garamond" w:eastAsia="Garamond" w:hAnsi="Garamond" w:cs="Garamond"/>
        </w:rPr>
        <w:t xml:space="preserve"> 7 (2006): 167-182. </w:t>
      </w:r>
    </w:p>
    <w:p w14:paraId="29B1EFB2" w14:textId="77777777" w:rsidR="00DA32A9" w:rsidRPr="0080605C" w:rsidRDefault="00DA32A9" w:rsidP="00EA3155">
      <w:pPr>
        <w:ind w:left="720" w:hanging="720"/>
        <w:jc w:val="both"/>
        <w:rPr>
          <w:rFonts w:ascii="Garamond" w:eastAsia="Garamond" w:hAnsi="Garamond" w:cs="Garamond"/>
        </w:rPr>
      </w:pPr>
    </w:p>
    <w:p w14:paraId="1C676A78" w14:textId="51A07811" w:rsidR="009B1757"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Liberto, Hallie.</w:t>
      </w:r>
      <w:r w:rsidR="009B1757" w:rsidRPr="0080605C">
        <w:rPr>
          <w:rFonts w:ascii="Garamond" w:eastAsia="Garamond" w:hAnsi="Garamond" w:cs="Garamond"/>
        </w:rPr>
        <w:t xml:space="preserve"> “Normalizing Prostitution versus Normalizing the Alienability of Sexual Rights: A Response to Scott A. Anderson.” </w:t>
      </w:r>
      <w:r w:rsidR="009B1757" w:rsidRPr="0080605C">
        <w:rPr>
          <w:rFonts w:ascii="Garamond" w:eastAsia="Garamond" w:hAnsi="Garamond" w:cs="Garamond"/>
          <w:i/>
        </w:rPr>
        <w:t>Ethics</w:t>
      </w:r>
      <w:r w:rsidR="009B1757" w:rsidRPr="0080605C">
        <w:rPr>
          <w:rFonts w:ascii="Garamond" w:eastAsia="Garamond" w:hAnsi="Garamond" w:cs="Garamond"/>
        </w:rPr>
        <w:t xml:space="preserve"> 120, no. 1(2009):138-145.</w:t>
      </w:r>
    </w:p>
    <w:p w14:paraId="4482D915" w14:textId="77777777" w:rsidR="009B1757" w:rsidRPr="0080605C" w:rsidRDefault="009B1757" w:rsidP="00EA3155">
      <w:pPr>
        <w:ind w:left="720" w:hanging="720"/>
        <w:jc w:val="both"/>
        <w:rPr>
          <w:rFonts w:ascii="Garamond" w:eastAsia="Garamond" w:hAnsi="Garamond" w:cs="Garamond"/>
        </w:rPr>
      </w:pPr>
    </w:p>
    <w:p w14:paraId="2A455B01" w14:textId="7E605721" w:rsidR="00DA32A9" w:rsidRPr="0080605C" w:rsidRDefault="009B1757" w:rsidP="00EA3155">
      <w:pPr>
        <w:ind w:left="720" w:hanging="720"/>
        <w:jc w:val="both"/>
        <w:rPr>
          <w:rFonts w:ascii="Garamond" w:eastAsia="Garamond" w:hAnsi="Garamond" w:cs="Garamond"/>
        </w:rPr>
      </w:pPr>
      <w:r w:rsidRPr="0080605C">
        <w:rPr>
          <w:rFonts w:ascii="Garamond" w:hAnsi="Garamond"/>
          <w:i/>
        </w:rPr>
        <w:t>-------------</w:t>
      </w:r>
      <w:r w:rsidRPr="0080605C">
        <w:rPr>
          <w:rFonts w:ascii="Garamond" w:eastAsia="Garamond" w:hAnsi="Garamond" w:cs="Garamond"/>
        </w:rPr>
        <w:t xml:space="preserve"> </w:t>
      </w:r>
      <w:r w:rsidR="00DA32A9" w:rsidRPr="0080605C">
        <w:rPr>
          <w:rFonts w:ascii="Garamond" w:eastAsia="Garamond" w:hAnsi="Garamond" w:cs="Garamond"/>
        </w:rPr>
        <w:t xml:space="preserve">“The Problem with Sexual Promises.” </w:t>
      </w:r>
      <w:r w:rsidR="00DA32A9" w:rsidRPr="0080605C">
        <w:rPr>
          <w:rFonts w:ascii="Garamond" w:eastAsia="Garamond" w:hAnsi="Garamond" w:cs="Garamond"/>
          <w:i/>
        </w:rPr>
        <w:t>Ethics</w:t>
      </w:r>
      <w:r w:rsidR="00DA32A9" w:rsidRPr="0080605C">
        <w:rPr>
          <w:rFonts w:ascii="Garamond" w:eastAsia="Garamond" w:hAnsi="Garamond" w:cs="Garamond"/>
        </w:rPr>
        <w:t xml:space="preserve"> 127, no. 2 (January 2017): 383-414. </w:t>
      </w:r>
    </w:p>
    <w:p w14:paraId="3181127D" w14:textId="3FAF016E" w:rsidR="00044969" w:rsidRPr="0080605C" w:rsidRDefault="00044969" w:rsidP="00EA3155">
      <w:pPr>
        <w:ind w:left="720" w:hanging="720"/>
        <w:jc w:val="both"/>
        <w:rPr>
          <w:rFonts w:ascii="Garamond" w:eastAsia="Garamond" w:hAnsi="Garamond" w:cs="Garamond"/>
        </w:rPr>
      </w:pPr>
    </w:p>
    <w:p w14:paraId="37D69F65" w14:textId="3F91CBE7" w:rsidR="00044969" w:rsidRPr="0080605C" w:rsidRDefault="00044969" w:rsidP="00EA3155">
      <w:pPr>
        <w:ind w:left="720" w:hanging="720"/>
        <w:jc w:val="both"/>
        <w:rPr>
          <w:rFonts w:ascii="Garamond" w:eastAsia="Garamond" w:hAnsi="Garamond" w:cs="Garamond"/>
        </w:rPr>
      </w:pPr>
      <w:r w:rsidRPr="0080605C">
        <w:rPr>
          <w:rFonts w:ascii="Garamond" w:eastAsia="Garamond" w:hAnsi="Garamond" w:cs="Garamond"/>
        </w:rPr>
        <w:t xml:space="preserve">Lillehammer, Hallvard. “Voluntary Euthanasia and the Logical Slippery Slope Argument,” </w:t>
      </w:r>
      <w:r w:rsidRPr="0080605C">
        <w:rPr>
          <w:rFonts w:ascii="Garamond" w:eastAsia="Garamond" w:hAnsi="Garamond" w:cs="Garamond"/>
          <w:i/>
        </w:rPr>
        <w:t>Cambridge Law Journal</w:t>
      </w:r>
      <w:r w:rsidRPr="0080605C">
        <w:rPr>
          <w:rFonts w:ascii="Garamond" w:eastAsia="Garamond" w:hAnsi="Garamond" w:cs="Garamond"/>
        </w:rPr>
        <w:t xml:space="preserve"> 61, no. 3 (2002): 545-550. </w:t>
      </w:r>
    </w:p>
    <w:p w14:paraId="4C0CF1EB" w14:textId="77777777" w:rsidR="00044969" w:rsidRPr="0080605C" w:rsidRDefault="00044969" w:rsidP="00EF1124">
      <w:pPr>
        <w:jc w:val="both"/>
        <w:rPr>
          <w:rFonts w:ascii="Garamond" w:eastAsia="Garamond" w:hAnsi="Garamond" w:cs="Garamond"/>
        </w:rPr>
      </w:pPr>
    </w:p>
    <w:p w14:paraId="1E7D0CE8" w14:textId="37B87C1B" w:rsidR="00C0184A" w:rsidRPr="0080605C" w:rsidRDefault="00C0184A" w:rsidP="00EA3155">
      <w:pPr>
        <w:ind w:left="720" w:hanging="720"/>
        <w:jc w:val="both"/>
        <w:rPr>
          <w:rFonts w:ascii="Garamond" w:hAnsi="Garamond"/>
        </w:rPr>
      </w:pPr>
      <w:r w:rsidRPr="0080605C">
        <w:rPr>
          <w:rFonts w:ascii="Garamond" w:hAnsi="Garamond"/>
        </w:rPr>
        <w:t xml:space="preserve">Manninen, Bertha A. “A Case for Justified Non-Voluntary Active Euthanasia: Exploring the Ethics of the Groningen Protocol,” </w:t>
      </w:r>
      <w:r w:rsidRPr="0080605C">
        <w:rPr>
          <w:rFonts w:ascii="Garamond" w:hAnsi="Garamond"/>
          <w:i/>
        </w:rPr>
        <w:t>Journal of Medical Ethics</w:t>
      </w:r>
      <w:r w:rsidRPr="0080605C">
        <w:rPr>
          <w:rFonts w:ascii="Garamond" w:hAnsi="Garamond"/>
        </w:rPr>
        <w:t xml:space="preserve">, 32 no. 11 (2006): 643-651. </w:t>
      </w:r>
    </w:p>
    <w:p w14:paraId="3B7DE5CF" w14:textId="77777777" w:rsidR="00C0184A" w:rsidRPr="0080605C" w:rsidRDefault="00C0184A" w:rsidP="00EA3155">
      <w:pPr>
        <w:ind w:left="720" w:hanging="720"/>
        <w:jc w:val="both"/>
        <w:rPr>
          <w:rFonts w:ascii="Garamond" w:hAnsi="Garamond"/>
        </w:rPr>
      </w:pPr>
    </w:p>
    <w:p w14:paraId="5663B649" w14:textId="645B529C" w:rsidR="00044969" w:rsidRPr="0080605C" w:rsidRDefault="00044969" w:rsidP="00EA3155">
      <w:pPr>
        <w:ind w:left="720" w:hanging="720"/>
        <w:jc w:val="both"/>
        <w:rPr>
          <w:rFonts w:ascii="Garamond" w:hAnsi="Garamond"/>
        </w:rPr>
      </w:pPr>
      <w:r w:rsidRPr="0080605C">
        <w:rPr>
          <w:rFonts w:ascii="Garamond" w:hAnsi="Garamond"/>
        </w:rPr>
        <w:t xml:space="preserve">Menzel, Paul T. and Bonnie Steinbock. “Advance Directives, Dementia, and Physician-Assisted Death,” </w:t>
      </w:r>
      <w:r w:rsidRPr="0080605C">
        <w:rPr>
          <w:rFonts w:ascii="Garamond" w:hAnsi="Garamond"/>
          <w:i/>
        </w:rPr>
        <w:t>The Journal of Law, Medicine and Ethics</w:t>
      </w:r>
      <w:r w:rsidRPr="0080605C">
        <w:rPr>
          <w:rFonts w:ascii="Garamond" w:hAnsi="Garamond"/>
        </w:rPr>
        <w:t>, 41 no. 2 (2013): 484-500.</w:t>
      </w:r>
    </w:p>
    <w:p w14:paraId="74871B63" w14:textId="77777777" w:rsidR="00044969" w:rsidRPr="0080605C" w:rsidRDefault="00044969" w:rsidP="00EA3155">
      <w:pPr>
        <w:ind w:left="720" w:hanging="720"/>
        <w:jc w:val="both"/>
        <w:rPr>
          <w:rFonts w:ascii="Garamond" w:eastAsia="Garamond" w:hAnsi="Garamond" w:cs="Garamond"/>
        </w:rPr>
      </w:pPr>
    </w:p>
    <w:p w14:paraId="231B55F9" w14:textId="0AD1839B"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Miller, David Gibbes, Rebecca Dresser, and Scott Y. H. Kim. “Advance euthanasia directives: A Controversial case and its ethical implications.” </w:t>
      </w:r>
      <w:r w:rsidRPr="0080605C">
        <w:rPr>
          <w:rFonts w:ascii="Garamond" w:eastAsia="Garamond" w:hAnsi="Garamond" w:cs="Garamond"/>
          <w:i/>
        </w:rPr>
        <w:t xml:space="preserve">Journal of Medical Ethics </w:t>
      </w:r>
      <w:r w:rsidRPr="0080605C">
        <w:rPr>
          <w:rFonts w:ascii="Garamond" w:eastAsia="Garamond" w:hAnsi="Garamond" w:cs="Garamond"/>
        </w:rPr>
        <w:t xml:space="preserve">45 (2019): 84-89. </w:t>
      </w:r>
    </w:p>
    <w:p w14:paraId="22B286F6" w14:textId="35F040F1" w:rsidR="00162FB1" w:rsidRPr="0080605C" w:rsidRDefault="00162FB1" w:rsidP="00EA3155">
      <w:pPr>
        <w:ind w:left="720" w:hanging="720"/>
        <w:jc w:val="both"/>
        <w:rPr>
          <w:rFonts w:ascii="Garamond" w:eastAsia="Garamond" w:hAnsi="Garamond" w:cs="Garamond"/>
        </w:rPr>
      </w:pPr>
    </w:p>
    <w:p w14:paraId="065C5576" w14:textId="77777777" w:rsidR="00162FB1" w:rsidRPr="0080605C" w:rsidRDefault="00162FB1" w:rsidP="00EA3155">
      <w:pPr>
        <w:jc w:val="both"/>
        <w:rPr>
          <w:rFonts w:ascii="Garamond" w:eastAsia="Times New Roman" w:hAnsi="Garamond" w:cs="Times New Roman"/>
        </w:rPr>
      </w:pPr>
      <w:r w:rsidRPr="0080605C">
        <w:rPr>
          <w:rFonts w:ascii="Garamond" w:eastAsia="Times New Roman" w:hAnsi="Garamond" w:cs="Times New Roman"/>
        </w:rPr>
        <w:t xml:space="preserve">Pandit, J. J. et al. “5th National Audit Project (NAP5) on Accidental Awareness during General </w:t>
      </w:r>
    </w:p>
    <w:p w14:paraId="095CBA47" w14:textId="77777777" w:rsidR="00162FB1" w:rsidRPr="0080605C" w:rsidRDefault="00162FB1" w:rsidP="00EA3155">
      <w:pPr>
        <w:ind w:firstLine="720"/>
        <w:jc w:val="both"/>
        <w:rPr>
          <w:rFonts w:ascii="Garamond" w:eastAsia="Times New Roman" w:hAnsi="Garamond" w:cs="Times New Roman"/>
        </w:rPr>
      </w:pPr>
      <w:r w:rsidRPr="0080605C">
        <w:rPr>
          <w:rFonts w:ascii="Garamond" w:eastAsia="Times New Roman" w:hAnsi="Garamond" w:cs="Times New Roman"/>
        </w:rPr>
        <w:t xml:space="preserve">Anaesthesia: Summary of Main Findings and Risk Factors.” </w:t>
      </w:r>
      <w:r w:rsidRPr="0080605C">
        <w:rPr>
          <w:rFonts w:ascii="Garamond" w:eastAsia="Times New Roman" w:hAnsi="Garamond" w:cs="Times New Roman"/>
          <w:i/>
          <w:iCs/>
        </w:rPr>
        <w:t>BJA: British Journal of Anaesthesia</w:t>
      </w:r>
      <w:r w:rsidRPr="0080605C">
        <w:rPr>
          <w:rFonts w:ascii="Garamond" w:eastAsia="Times New Roman" w:hAnsi="Garamond" w:cs="Times New Roman"/>
        </w:rPr>
        <w:t xml:space="preserve"> </w:t>
      </w:r>
    </w:p>
    <w:p w14:paraId="5CF83285" w14:textId="1F47322D" w:rsidR="00162FB1" w:rsidRPr="0080605C" w:rsidRDefault="00162FB1" w:rsidP="00EA3155">
      <w:pPr>
        <w:ind w:firstLine="720"/>
        <w:jc w:val="both"/>
        <w:rPr>
          <w:rFonts w:ascii="Garamond" w:eastAsia="Times New Roman" w:hAnsi="Garamond" w:cs="Times New Roman"/>
        </w:rPr>
      </w:pPr>
      <w:r w:rsidRPr="0080605C">
        <w:rPr>
          <w:rFonts w:ascii="Garamond" w:eastAsia="Times New Roman" w:hAnsi="Garamond" w:cs="Times New Roman"/>
        </w:rPr>
        <w:t>113, no. 4 (October 1, 2014): 549–59. https://doi.org/10.1093/bja/aeu313.</w:t>
      </w:r>
    </w:p>
    <w:p w14:paraId="05FB75B9" w14:textId="77777777" w:rsidR="00366BF2" w:rsidRPr="0080605C" w:rsidRDefault="00366BF2" w:rsidP="00EA3155">
      <w:pPr>
        <w:jc w:val="both"/>
        <w:rPr>
          <w:rFonts w:ascii="Garamond" w:eastAsia="Garamond" w:hAnsi="Garamond" w:cs="Garamond"/>
        </w:rPr>
      </w:pPr>
    </w:p>
    <w:p w14:paraId="17261B66" w14:textId="0043D339"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Prentiss, Mairin. “‘I wanted to make it to Christmas’: Woman calls for assisted dying law changes.” </w:t>
      </w:r>
      <w:r w:rsidRPr="0080605C">
        <w:rPr>
          <w:rFonts w:ascii="Garamond" w:eastAsia="Garamond" w:hAnsi="Garamond" w:cs="Garamond"/>
          <w:i/>
        </w:rPr>
        <w:t>CBC</w:t>
      </w:r>
      <w:r w:rsidRPr="0080605C">
        <w:rPr>
          <w:rFonts w:ascii="Garamond" w:eastAsia="Garamond" w:hAnsi="Garamond" w:cs="Garamond"/>
        </w:rPr>
        <w:t>, November 1, 2018.</w:t>
      </w:r>
      <w:r w:rsidR="007F1ED1" w:rsidRPr="0080605C">
        <w:rPr>
          <w:rFonts w:ascii="Garamond" w:eastAsia="Garamond" w:hAnsi="Garamond" w:cs="Garamond"/>
        </w:rPr>
        <w:t xml:space="preserve"> </w:t>
      </w:r>
      <w:r w:rsidR="007F1ED1" w:rsidRPr="0080605C">
        <w:rPr>
          <w:rFonts w:ascii="Garamond" w:hAnsi="Garamond"/>
        </w:rPr>
        <w:t>https://www.cbc.ca/news/canada/nova-scotia/audrey-parker-assisted-dying-legislation-1.4887472</w:t>
      </w:r>
      <w:r w:rsidR="007F1ED1" w:rsidRPr="0080605C">
        <w:rPr>
          <w:rFonts w:ascii="Garamond" w:eastAsia="Garamond" w:hAnsi="Garamond" w:cs="Garamond"/>
        </w:rPr>
        <w:t>.</w:t>
      </w:r>
    </w:p>
    <w:p w14:paraId="0D7C5DD4" w14:textId="12D90EE6" w:rsidR="00366BF2" w:rsidRPr="0080605C" w:rsidRDefault="00366BF2" w:rsidP="00EA3155">
      <w:pPr>
        <w:ind w:left="720" w:hanging="720"/>
        <w:jc w:val="both"/>
        <w:rPr>
          <w:rFonts w:ascii="Garamond" w:eastAsia="Garamond" w:hAnsi="Garamond" w:cs="Garamond"/>
        </w:rPr>
      </w:pPr>
    </w:p>
    <w:p w14:paraId="49DBAFF2" w14:textId="77777777" w:rsidR="00366BF2" w:rsidRPr="0080605C" w:rsidRDefault="00366BF2" w:rsidP="00EA3155">
      <w:pPr>
        <w:jc w:val="both"/>
        <w:rPr>
          <w:rFonts w:ascii="Garamond" w:eastAsia="Times New Roman" w:hAnsi="Garamond" w:cs="Times New Roman"/>
        </w:rPr>
      </w:pPr>
      <w:r w:rsidRPr="0080605C">
        <w:rPr>
          <w:rFonts w:ascii="Garamond" w:eastAsia="Times New Roman" w:hAnsi="Garamond" w:cs="Times New Roman"/>
        </w:rPr>
        <w:t xml:space="preserve">Quinn, Warren S. “Actions, Intentions, and Consequences: The Doctrine of Doing and Allowing.” </w:t>
      </w:r>
    </w:p>
    <w:p w14:paraId="2C1D4A06" w14:textId="04AE3169" w:rsidR="00366BF2" w:rsidRPr="0080605C" w:rsidRDefault="00366BF2" w:rsidP="00EA3155">
      <w:pPr>
        <w:ind w:firstLine="720"/>
        <w:jc w:val="both"/>
        <w:rPr>
          <w:rFonts w:ascii="Garamond" w:eastAsia="Times New Roman" w:hAnsi="Garamond" w:cs="Times New Roman"/>
        </w:rPr>
      </w:pPr>
      <w:r w:rsidRPr="0080605C">
        <w:rPr>
          <w:rFonts w:ascii="Garamond" w:eastAsia="Times New Roman" w:hAnsi="Garamond" w:cs="Times New Roman"/>
          <w:i/>
          <w:iCs/>
        </w:rPr>
        <w:t>The Philosophical Review</w:t>
      </w:r>
      <w:r w:rsidRPr="0080605C">
        <w:rPr>
          <w:rFonts w:ascii="Garamond" w:eastAsia="Times New Roman" w:hAnsi="Garamond" w:cs="Times New Roman"/>
        </w:rPr>
        <w:t xml:space="preserve"> 98, no. 3 (1989): 287–312. </w:t>
      </w:r>
    </w:p>
    <w:p w14:paraId="2BF5C790" w14:textId="77777777" w:rsidR="00DA32A9" w:rsidRPr="0080605C" w:rsidRDefault="00DA32A9" w:rsidP="00EA3155">
      <w:pPr>
        <w:ind w:left="720" w:hanging="720"/>
        <w:jc w:val="both"/>
        <w:rPr>
          <w:rFonts w:ascii="Garamond" w:eastAsia="Garamond" w:hAnsi="Garamond" w:cs="Garamond"/>
        </w:rPr>
      </w:pPr>
    </w:p>
    <w:p w14:paraId="0EF598F0" w14:textId="509CD480" w:rsidR="00DA32A9"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Rao, Jaya K., Lynda A. Anderson, Feng-Chang Lin, and Jeffrey P. Laux. “Completion of Advance Directives Among U.S. Consumers.” </w:t>
      </w:r>
      <w:r w:rsidRPr="0080605C">
        <w:rPr>
          <w:rFonts w:ascii="Garamond" w:eastAsia="Garamond" w:hAnsi="Garamond" w:cs="Garamond"/>
          <w:i/>
        </w:rPr>
        <w:t xml:space="preserve">American Journal of Preventative Medicine </w:t>
      </w:r>
      <w:r w:rsidRPr="0080605C">
        <w:rPr>
          <w:rFonts w:ascii="Garamond" w:eastAsia="Garamond" w:hAnsi="Garamond" w:cs="Garamond"/>
        </w:rPr>
        <w:t xml:space="preserve">46, no. 1 (2014): 65-70. </w:t>
      </w:r>
    </w:p>
    <w:p w14:paraId="2B911003" w14:textId="772010F0" w:rsidR="0080605C" w:rsidRDefault="0080605C" w:rsidP="00EA3155">
      <w:pPr>
        <w:ind w:left="720" w:hanging="720"/>
        <w:jc w:val="both"/>
        <w:rPr>
          <w:rFonts w:ascii="Garamond" w:eastAsia="Garamond" w:hAnsi="Garamond" w:cs="Garamond"/>
        </w:rPr>
      </w:pPr>
    </w:p>
    <w:p w14:paraId="2436BCD4" w14:textId="43719943" w:rsidR="0080605C" w:rsidRPr="0080605C" w:rsidRDefault="0080605C" w:rsidP="00EA3155">
      <w:pPr>
        <w:ind w:left="720" w:hanging="720"/>
        <w:jc w:val="both"/>
        <w:rPr>
          <w:rFonts w:ascii="Garamond" w:eastAsia="Garamond" w:hAnsi="Garamond" w:cs="Garamond"/>
        </w:rPr>
      </w:pPr>
      <w:r>
        <w:rPr>
          <w:rFonts w:ascii="Garamond" w:eastAsia="Garamond" w:hAnsi="Garamond" w:cs="Garamond"/>
        </w:rPr>
        <w:t xml:space="preserve">Reed, Philip. “Expressivism at the Beginning and End of Life.” </w:t>
      </w:r>
      <w:r>
        <w:rPr>
          <w:rFonts w:ascii="Garamond" w:eastAsia="Garamond" w:hAnsi="Garamond" w:cs="Garamond"/>
          <w:i/>
        </w:rPr>
        <w:t xml:space="preserve">Journal of Medical </w:t>
      </w:r>
      <w:r w:rsidR="003D779F">
        <w:rPr>
          <w:rFonts w:ascii="Garamond" w:eastAsia="Garamond" w:hAnsi="Garamond" w:cs="Garamond"/>
          <w:i/>
        </w:rPr>
        <w:t>E</w:t>
      </w:r>
      <w:r>
        <w:rPr>
          <w:rFonts w:ascii="Garamond" w:eastAsia="Garamond" w:hAnsi="Garamond" w:cs="Garamond"/>
          <w:i/>
        </w:rPr>
        <w:t xml:space="preserve">thics </w:t>
      </w:r>
      <w:r>
        <w:rPr>
          <w:rFonts w:ascii="Garamond" w:eastAsia="Garamond" w:hAnsi="Garamond" w:cs="Garamond"/>
        </w:rPr>
        <w:t xml:space="preserve">46 (2020): 538-544. </w:t>
      </w:r>
    </w:p>
    <w:p w14:paraId="7E969A3E" w14:textId="77777777" w:rsidR="00DA32A9" w:rsidRPr="0080605C" w:rsidRDefault="00DA32A9" w:rsidP="00EA3155">
      <w:pPr>
        <w:jc w:val="both"/>
        <w:rPr>
          <w:rFonts w:ascii="Garamond" w:eastAsia="Garamond" w:hAnsi="Garamond" w:cs="Garamond"/>
        </w:rPr>
      </w:pPr>
    </w:p>
    <w:p w14:paraId="55C320F7" w14:textId="3693B34B" w:rsidR="00044969" w:rsidRPr="005B1297" w:rsidRDefault="00044969" w:rsidP="00EA3155">
      <w:pPr>
        <w:ind w:left="720" w:hanging="720"/>
        <w:jc w:val="both"/>
        <w:outlineLvl w:val="0"/>
        <w:rPr>
          <w:rFonts w:ascii="Garamond" w:eastAsia="Garamond" w:hAnsi="Garamond" w:cs="Garamond"/>
        </w:rPr>
      </w:pPr>
      <w:r w:rsidRPr="00C4717A">
        <w:rPr>
          <w:rFonts w:ascii="Garamond" w:eastAsia="Garamond" w:hAnsi="Garamond" w:cs="Garamond"/>
        </w:rPr>
        <w:t>Savulescu, Julia</w:t>
      </w:r>
      <w:r w:rsidR="00231820" w:rsidRPr="00C4717A">
        <w:rPr>
          <w:rFonts w:ascii="Garamond" w:eastAsia="Garamond" w:hAnsi="Garamond" w:cs="Garamond"/>
        </w:rPr>
        <w:t>n</w:t>
      </w:r>
      <w:r w:rsidRPr="005B1297">
        <w:rPr>
          <w:rFonts w:ascii="Garamond" w:eastAsia="Garamond" w:hAnsi="Garamond" w:cs="Garamond"/>
        </w:rPr>
        <w:t xml:space="preserve">. “End-of-Life Decisions,” </w:t>
      </w:r>
      <w:r w:rsidRPr="005B1297">
        <w:rPr>
          <w:rFonts w:ascii="Garamond" w:eastAsia="Garamond" w:hAnsi="Garamond" w:cs="Garamond"/>
          <w:i/>
        </w:rPr>
        <w:t xml:space="preserve">Medicine </w:t>
      </w:r>
      <w:r w:rsidRPr="005B1297">
        <w:rPr>
          <w:rFonts w:ascii="Garamond" w:eastAsia="Garamond" w:hAnsi="Garamond" w:cs="Garamond"/>
        </w:rPr>
        <w:t xml:space="preserve">33 no. 2 (2005): 11-15. </w:t>
      </w:r>
    </w:p>
    <w:p w14:paraId="60BBC3BF" w14:textId="77777777" w:rsidR="00044969" w:rsidRPr="00A43FD1" w:rsidRDefault="00044969" w:rsidP="00EA3155">
      <w:pPr>
        <w:ind w:left="720" w:hanging="720"/>
        <w:jc w:val="both"/>
        <w:rPr>
          <w:rFonts w:ascii="Garamond" w:eastAsia="Garamond" w:hAnsi="Garamond" w:cs="Garamond"/>
        </w:rPr>
      </w:pPr>
    </w:p>
    <w:p w14:paraId="72A847BD" w14:textId="2197C090" w:rsidR="00DA32A9" w:rsidRPr="002B5CD1" w:rsidRDefault="00DA32A9" w:rsidP="00EA3155">
      <w:pPr>
        <w:ind w:left="720" w:hanging="720"/>
        <w:jc w:val="both"/>
        <w:rPr>
          <w:rFonts w:ascii="Garamond" w:eastAsia="Garamond" w:hAnsi="Garamond" w:cs="Garamond"/>
        </w:rPr>
      </w:pPr>
      <w:r w:rsidRPr="00A43FD1">
        <w:rPr>
          <w:rFonts w:ascii="Garamond" w:eastAsia="Garamond" w:hAnsi="Garamond" w:cs="Garamond"/>
        </w:rPr>
        <w:lastRenderedPageBreak/>
        <w:t xml:space="preserve">Shalowitz, David I., Elizabeth Garrett-Mayer, and David Wendler. “The Accuracy of Surrogate Decision Makers.” </w:t>
      </w:r>
      <w:r w:rsidRPr="001A26FE">
        <w:rPr>
          <w:rFonts w:ascii="Garamond" w:eastAsia="Garamond" w:hAnsi="Garamond" w:cs="Garamond"/>
          <w:i/>
        </w:rPr>
        <w:t>Archives of Internal Medicine</w:t>
      </w:r>
      <w:r w:rsidRPr="00FA5798">
        <w:rPr>
          <w:rFonts w:ascii="Garamond" w:eastAsia="Garamond" w:hAnsi="Garamond" w:cs="Garamond"/>
        </w:rPr>
        <w:t xml:space="preserve"> 166 (March 2006): 493-497</w:t>
      </w:r>
      <w:r w:rsidRPr="002B5CD1">
        <w:rPr>
          <w:rFonts w:ascii="Garamond" w:eastAsia="Garamond" w:hAnsi="Garamond" w:cs="Garamond"/>
        </w:rPr>
        <w:t>.</w:t>
      </w:r>
    </w:p>
    <w:p w14:paraId="3CD50A62" w14:textId="77777777" w:rsidR="00DA32A9" w:rsidRPr="002B5CD1" w:rsidRDefault="00DA32A9" w:rsidP="00EA3155">
      <w:pPr>
        <w:ind w:left="720" w:hanging="720"/>
        <w:jc w:val="both"/>
        <w:rPr>
          <w:rFonts w:ascii="Garamond" w:eastAsia="Garamond" w:hAnsi="Garamond" w:cs="Garamond"/>
        </w:rPr>
      </w:pPr>
    </w:p>
    <w:p w14:paraId="53FC1AA8" w14:textId="389959BD"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Smith, Dylan M., Ryan L. Sherriff, Laura Damschroder, George Loewenstein, and Peter A. Ubel. “Misremembering colostomies? Former patients give lower utility ratings than do current patients.” </w:t>
      </w:r>
      <w:r w:rsidRPr="0080605C">
        <w:rPr>
          <w:rFonts w:ascii="Garamond" w:eastAsia="Garamond" w:hAnsi="Garamond" w:cs="Garamond"/>
          <w:i/>
        </w:rPr>
        <w:t xml:space="preserve">Health Psychology </w:t>
      </w:r>
      <w:r w:rsidRPr="0080605C">
        <w:rPr>
          <w:rFonts w:ascii="Garamond" w:eastAsia="Garamond" w:hAnsi="Garamond" w:cs="Garamond"/>
        </w:rPr>
        <w:t xml:space="preserve">25, no. 6 (2006): 688-695. </w:t>
      </w:r>
    </w:p>
    <w:p w14:paraId="33672F63" w14:textId="77777777" w:rsidR="00DA32A9" w:rsidRPr="0080605C" w:rsidRDefault="00DA32A9" w:rsidP="00EA3155">
      <w:pPr>
        <w:jc w:val="both"/>
        <w:rPr>
          <w:rFonts w:ascii="Garamond" w:eastAsia="Garamond" w:hAnsi="Garamond" w:cs="Garamond"/>
        </w:rPr>
      </w:pPr>
    </w:p>
    <w:p w14:paraId="01FE49C9" w14:textId="2BE5B33B" w:rsidR="00DA32A9" w:rsidRPr="0080605C" w:rsidRDefault="00DA32A9" w:rsidP="00EA3155">
      <w:pPr>
        <w:ind w:left="720" w:hanging="720"/>
        <w:jc w:val="both"/>
        <w:outlineLvl w:val="0"/>
        <w:rPr>
          <w:rFonts w:ascii="Garamond" w:eastAsia="Garamond" w:hAnsi="Garamond" w:cs="Garamond"/>
        </w:rPr>
      </w:pPr>
      <w:r w:rsidRPr="0080605C">
        <w:rPr>
          <w:rFonts w:ascii="Garamond" w:eastAsia="Garamond" w:hAnsi="Garamond" w:cs="Garamond"/>
        </w:rPr>
        <w:t xml:space="preserve">Sumner, L.W. </w:t>
      </w:r>
      <w:r w:rsidRPr="0080605C">
        <w:rPr>
          <w:rFonts w:ascii="Garamond" w:eastAsia="Garamond" w:hAnsi="Garamond" w:cs="Garamond"/>
          <w:i/>
        </w:rPr>
        <w:t>Assisted Death: A Study in Ethics and Law</w:t>
      </w:r>
      <w:r w:rsidRPr="0080605C">
        <w:rPr>
          <w:rFonts w:ascii="Garamond" w:eastAsia="Garamond" w:hAnsi="Garamond" w:cs="Garamond"/>
        </w:rPr>
        <w:t xml:space="preserve">. Oxford: Oxford University Press, 2011. </w:t>
      </w:r>
    </w:p>
    <w:p w14:paraId="32D04DE7" w14:textId="77777777" w:rsidR="00DA32A9" w:rsidRPr="0080605C" w:rsidRDefault="00DA32A9" w:rsidP="00EA3155">
      <w:pPr>
        <w:jc w:val="both"/>
        <w:rPr>
          <w:rFonts w:ascii="Garamond" w:eastAsia="Garamond" w:hAnsi="Garamond" w:cs="Garamond"/>
        </w:rPr>
      </w:pPr>
    </w:p>
    <w:p w14:paraId="7C495BC6" w14:textId="38451F3D"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van Wijmen, </w:t>
      </w:r>
      <w:r w:rsidR="00137DFE" w:rsidRPr="0080605C">
        <w:rPr>
          <w:rFonts w:ascii="Garamond" w:eastAsia="Garamond" w:hAnsi="Garamond" w:cs="Garamond"/>
        </w:rPr>
        <w:t>et al.</w:t>
      </w:r>
      <w:r w:rsidRPr="0080605C">
        <w:rPr>
          <w:rFonts w:ascii="Garamond" w:eastAsia="Garamond" w:hAnsi="Garamond" w:cs="Garamond"/>
        </w:rPr>
        <w:t xml:space="preserve"> “Stability of end-of-life preferences in relation to health status and life-events: A Cohort study with a 6-year follow-up among holders of an advance directive.” </w:t>
      </w:r>
      <w:r w:rsidRPr="0080605C">
        <w:rPr>
          <w:rFonts w:ascii="Garamond" w:eastAsia="Garamond" w:hAnsi="Garamond" w:cs="Garamond"/>
          <w:i/>
        </w:rPr>
        <w:t>PLoS ONE</w:t>
      </w:r>
      <w:r w:rsidRPr="0080605C">
        <w:rPr>
          <w:rFonts w:ascii="Garamond" w:eastAsia="Garamond" w:hAnsi="Garamond" w:cs="Garamond"/>
        </w:rPr>
        <w:t xml:space="preserve"> 13, no. 12 (2018): 1-14. </w:t>
      </w:r>
    </w:p>
    <w:p w14:paraId="2552B85D" w14:textId="77777777" w:rsidR="00DA32A9" w:rsidRPr="0080605C" w:rsidRDefault="00DA32A9" w:rsidP="00EA3155">
      <w:pPr>
        <w:ind w:left="720" w:hanging="720"/>
        <w:jc w:val="both"/>
        <w:rPr>
          <w:rFonts w:ascii="Garamond" w:eastAsia="Garamond" w:hAnsi="Garamond" w:cs="Garamond"/>
        </w:rPr>
      </w:pPr>
    </w:p>
    <w:p w14:paraId="71777DF5" w14:textId="57C837E9" w:rsidR="00DA32A9" w:rsidRPr="0080605C" w:rsidRDefault="00DA32A9" w:rsidP="00EA3155">
      <w:pPr>
        <w:ind w:left="720" w:hanging="720"/>
        <w:jc w:val="both"/>
        <w:rPr>
          <w:rFonts w:ascii="Garamond" w:eastAsia="Garamond" w:hAnsi="Garamond" w:cs="Garamond"/>
        </w:rPr>
      </w:pPr>
      <w:r w:rsidRPr="0080605C">
        <w:rPr>
          <w:rFonts w:ascii="Garamond" w:eastAsia="Garamond" w:hAnsi="Garamond" w:cs="Garamond"/>
        </w:rPr>
        <w:t xml:space="preserve">Walasek, Lukasz, Gordon D. A. Brown, and Gordon D. Ovens. “Subjective well-being and valuation of future health states: Discrepancies between anticipated and experienced life satisfaction.” </w:t>
      </w:r>
      <w:r w:rsidRPr="0080605C">
        <w:rPr>
          <w:rFonts w:ascii="Garamond" w:eastAsia="Garamond" w:hAnsi="Garamond" w:cs="Garamond"/>
          <w:i/>
        </w:rPr>
        <w:t>Journal of Applied Social Psychology</w:t>
      </w:r>
      <w:r w:rsidRPr="0080605C">
        <w:rPr>
          <w:rFonts w:ascii="Garamond" w:eastAsia="Garamond" w:hAnsi="Garamond" w:cs="Garamond"/>
        </w:rPr>
        <w:t xml:space="preserve"> 49, no. 12 (September 2019): 746-754. </w:t>
      </w:r>
    </w:p>
    <w:p w14:paraId="217AE7D1" w14:textId="77777777" w:rsidR="00044969" w:rsidRPr="0080605C" w:rsidRDefault="00044969" w:rsidP="00EA3155">
      <w:pPr>
        <w:jc w:val="both"/>
        <w:rPr>
          <w:rFonts w:ascii="Garamond" w:eastAsia="Garamond" w:hAnsi="Garamond" w:cs="Garamond"/>
        </w:rPr>
      </w:pPr>
    </w:p>
    <w:p w14:paraId="429652C5" w14:textId="6247F7A8" w:rsidR="00044969" w:rsidRPr="0080605C" w:rsidRDefault="00044969" w:rsidP="00EA3155">
      <w:pPr>
        <w:ind w:left="720" w:hanging="720"/>
        <w:jc w:val="both"/>
        <w:rPr>
          <w:rFonts w:ascii="Garamond" w:eastAsia="Garamond" w:hAnsi="Garamond" w:cs="Garamond"/>
        </w:rPr>
      </w:pPr>
      <w:r w:rsidRPr="0080605C">
        <w:rPr>
          <w:rFonts w:ascii="Garamond" w:hAnsi="Garamond"/>
        </w:rPr>
        <w:t xml:space="preserve">Young, Robert. </w:t>
      </w:r>
      <w:r w:rsidRPr="0080605C">
        <w:rPr>
          <w:rFonts w:ascii="Garamond" w:hAnsi="Garamond"/>
          <w:i/>
        </w:rPr>
        <w:t>Medically Assisted Death</w:t>
      </w:r>
      <w:r w:rsidRPr="0080605C">
        <w:rPr>
          <w:rFonts w:ascii="Garamond" w:hAnsi="Garamond"/>
        </w:rPr>
        <w:t xml:space="preserve">. Cambridge: Cambridge </w:t>
      </w:r>
      <w:r w:rsidR="004105A5" w:rsidRPr="0080605C">
        <w:rPr>
          <w:rFonts w:ascii="Garamond" w:hAnsi="Garamond"/>
        </w:rPr>
        <w:t>University</w:t>
      </w:r>
      <w:r w:rsidRPr="0080605C">
        <w:rPr>
          <w:rFonts w:ascii="Garamond" w:hAnsi="Garamond"/>
        </w:rPr>
        <w:t xml:space="preserve"> Press, 2007.</w:t>
      </w:r>
    </w:p>
    <w:sectPr w:rsidR="00044969" w:rsidRPr="0080605C">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4A85" w14:textId="77777777" w:rsidR="00BB366C" w:rsidRDefault="00BB366C">
      <w:r>
        <w:separator/>
      </w:r>
    </w:p>
  </w:endnote>
  <w:endnote w:type="continuationSeparator" w:id="0">
    <w:p w14:paraId="406EC4F5" w14:textId="77777777" w:rsidR="00BB366C" w:rsidRDefault="00BB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EB Garamond">
    <w:panose1 w:val="020B0604020202020204"/>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AA16" w14:textId="77777777" w:rsidR="000D5CE8" w:rsidRDefault="000D5CE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F38F9AB" w14:textId="77777777" w:rsidR="000D5CE8" w:rsidRDefault="000D5CE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4616" w14:textId="77777777" w:rsidR="000D5CE8" w:rsidRDefault="000D5CE8">
    <w:pPr>
      <w:pBdr>
        <w:top w:val="nil"/>
        <w:left w:val="nil"/>
        <w:bottom w:val="nil"/>
        <w:right w:val="nil"/>
        <w:between w:val="nil"/>
      </w:pBdr>
      <w:tabs>
        <w:tab w:val="center" w:pos="4680"/>
        <w:tab w:val="right" w:pos="9360"/>
      </w:tabs>
      <w:jc w:val="right"/>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Pr>
        <w:rFonts w:ascii="Garamond" w:eastAsia="Garamond" w:hAnsi="Garamond" w:cs="Garamond"/>
        <w:noProof/>
        <w:color w:val="000000"/>
      </w:rPr>
      <w:t>1</w:t>
    </w:r>
    <w:r>
      <w:rPr>
        <w:rFonts w:ascii="Garamond" w:eastAsia="Garamond" w:hAnsi="Garamond" w:cs="Garamond"/>
        <w:color w:val="000000"/>
      </w:rPr>
      <w:fldChar w:fldCharType="end"/>
    </w:r>
  </w:p>
  <w:p w14:paraId="38E9BB05" w14:textId="77777777" w:rsidR="000D5CE8" w:rsidRDefault="000D5CE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3AFE" w14:textId="77777777" w:rsidR="00BB366C" w:rsidRDefault="00BB366C">
      <w:r>
        <w:separator/>
      </w:r>
    </w:p>
  </w:footnote>
  <w:footnote w:type="continuationSeparator" w:id="0">
    <w:p w14:paraId="6B0454AC" w14:textId="77777777" w:rsidR="00BB366C" w:rsidRDefault="00BB366C">
      <w:r>
        <w:continuationSeparator/>
      </w:r>
    </w:p>
  </w:footnote>
  <w:footnote w:id="1">
    <w:p w14:paraId="5C529A28" w14:textId="2C241272" w:rsidR="000D5CE8" w:rsidRPr="000C0332" w:rsidRDefault="000D5CE8">
      <w:pPr>
        <w:pStyle w:val="FootnoteText"/>
        <w:rPr>
          <w:rFonts w:ascii="Garamond" w:hAnsi="Garamond"/>
        </w:rPr>
      </w:pPr>
      <w:r w:rsidRPr="000C0332">
        <w:rPr>
          <w:rStyle w:val="FootnoteReference"/>
          <w:rFonts w:ascii="Garamond" w:hAnsi="Garamond"/>
        </w:rPr>
        <w:footnoteRef/>
      </w:r>
      <w:r w:rsidRPr="000C0332">
        <w:rPr>
          <w:rFonts w:ascii="Garamond" w:hAnsi="Garamond"/>
        </w:rPr>
        <w:t xml:space="preserve"> </w:t>
      </w:r>
      <w:r w:rsidR="00740AF9">
        <w:rPr>
          <w:rFonts w:ascii="Garamond" w:hAnsi="Garamond"/>
        </w:rPr>
        <w:t>Both</w:t>
      </w:r>
      <w:r w:rsidR="00740AF9" w:rsidRPr="000C0332">
        <w:rPr>
          <w:rFonts w:ascii="Garamond" w:hAnsi="Garamond"/>
        </w:rPr>
        <w:t xml:space="preserve"> authors have made equal contributions to </w:t>
      </w:r>
      <w:r w:rsidR="009C53E0">
        <w:rPr>
          <w:rFonts w:ascii="Garamond" w:hAnsi="Garamond"/>
        </w:rPr>
        <w:t xml:space="preserve">the content of this article. </w:t>
      </w:r>
      <w:r w:rsidR="00740AF9" w:rsidRPr="000C0332">
        <w:rPr>
          <w:rFonts w:ascii="Garamond" w:hAnsi="Garamond"/>
        </w:rPr>
        <w:t xml:space="preserve"> </w:t>
      </w:r>
    </w:p>
  </w:footnote>
  <w:footnote w:id="2">
    <w:p w14:paraId="5C3F34BD" w14:textId="62B52D5B" w:rsidR="000D5CE8" w:rsidRPr="00740AF9" w:rsidRDefault="000D5CE8" w:rsidP="001C39AB">
      <w:pPr>
        <w:pBdr>
          <w:top w:val="nil"/>
          <w:left w:val="nil"/>
          <w:bottom w:val="nil"/>
          <w:right w:val="nil"/>
          <w:between w:val="nil"/>
        </w:pBdr>
        <w:jc w:val="both"/>
        <w:rPr>
          <w:rFonts w:ascii="Garamond" w:eastAsia="Garamond" w:hAnsi="Garamond" w:cs="Garamond"/>
          <w:color w:val="000000"/>
          <w:sz w:val="20"/>
          <w:szCs w:val="20"/>
        </w:rPr>
      </w:pPr>
      <w:r w:rsidRPr="00740AF9">
        <w:rPr>
          <w:rFonts w:ascii="Garamond" w:hAnsi="Garamond"/>
          <w:sz w:val="20"/>
          <w:szCs w:val="20"/>
          <w:vertAlign w:val="superscript"/>
        </w:rPr>
        <w:footnoteRef/>
      </w:r>
      <w:r w:rsidRPr="00740AF9">
        <w:rPr>
          <w:rFonts w:ascii="Garamond" w:eastAsia="Garamond" w:hAnsi="Garamond" w:cs="Garamond"/>
          <w:color w:val="000000"/>
          <w:sz w:val="20"/>
          <w:szCs w:val="20"/>
        </w:rPr>
        <w:t xml:space="preserve"> Prentiss (2018). </w:t>
      </w:r>
    </w:p>
  </w:footnote>
  <w:footnote w:id="3">
    <w:p w14:paraId="043C6EBA" w14:textId="23CD0D67" w:rsidR="000D5CE8" w:rsidRPr="007E51CA"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Canada has just recently relaxed this req</w:t>
      </w:r>
      <w:r w:rsidRPr="009C53E0">
        <w:rPr>
          <w:rFonts w:ascii="Garamond" w:hAnsi="Garamond"/>
        </w:rPr>
        <w:t>uirement; as of March 2021, patients must now be competent at the time that they make the initial request, but not at the time at which they receive medical aid in dying (House of Commons of Canada Bill C-7 (202</w:t>
      </w:r>
      <w:r w:rsidRPr="007E51CA">
        <w:rPr>
          <w:rFonts w:ascii="Garamond" w:hAnsi="Garamond"/>
        </w:rPr>
        <w:t>1)). It now joins the Netherlands and Belgium as the only countries that allow PAD requests made via advance directives (</w:t>
      </w:r>
      <w:r w:rsidRPr="007E51CA">
        <w:rPr>
          <w:rFonts w:ascii="Garamond" w:eastAsia="Garamond" w:hAnsi="Garamond" w:cs="Garamond"/>
          <w:i/>
          <w:color w:val="000000"/>
        </w:rPr>
        <w:t>Termination of Life on Request and Assisted Suicide (Review Procedures) Act</w:t>
      </w:r>
      <w:r w:rsidRPr="007E51CA">
        <w:rPr>
          <w:rFonts w:ascii="Garamond" w:eastAsia="Garamond" w:hAnsi="Garamond" w:cs="Garamond"/>
          <w:color w:val="000000"/>
        </w:rPr>
        <w:t>, 2002; The Belgian Act on Euthanasia, 2002). </w:t>
      </w:r>
    </w:p>
  </w:footnote>
  <w:footnote w:id="4">
    <w:p w14:paraId="18433224" w14:textId="72E942D3" w:rsidR="000D5CE8" w:rsidRPr="000C0332" w:rsidRDefault="000D5CE8" w:rsidP="001C39AB">
      <w:pPr>
        <w:pStyle w:val="FootnoteText"/>
        <w:jc w:val="both"/>
        <w:rPr>
          <w:rFonts w:ascii="Garamond" w:hAnsi="Garamond"/>
        </w:rPr>
      </w:pPr>
      <w:r w:rsidRPr="000C0332">
        <w:rPr>
          <w:rStyle w:val="FootnoteReference"/>
          <w:rFonts w:ascii="Garamond" w:hAnsi="Garamond"/>
        </w:rPr>
        <w:footnoteRef/>
      </w:r>
      <w:r w:rsidRPr="000C0332">
        <w:rPr>
          <w:rFonts w:ascii="Garamond" w:hAnsi="Garamond"/>
        </w:rPr>
        <w:t xml:space="preserve"> </w:t>
      </w:r>
      <w:r w:rsidRPr="00740AF9">
        <w:rPr>
          <w:rFonts w:ascii="Garamond" w:hAnsi="Garamond"/>
        </w:rPr>
        <w:t xml:space="preserve">Other authors have pointed out the symmetry between </w:t>
      </w:r>
      <w:r w:rsidRPr="009C53E0">
        <w:rPr>
          <w:rFonts w:ascii="Garamond" w:hAnsi="Garamond"/>
        </w:rPr>
        <w:t>surr</w:t>
      </w:r>
      <w:r w:rsidRPr="007E51CA">
        <w:rPr>
          <w:rFonts w:ascii="Garamond" w:hAnsi="Garamond"/>
        </w:rPr>
        <w:t>ogate-requested PAD, surrogate-requested withdrawal of care, and patient-requested PAD, though they have often done so as part of a slippery slope argument against patient-requested PAD. See, for instance, Keown (2002) and Amarasekara and Bagaric (2004). For objections to this slippery slope argument, which take the form of denying the moral symmetry between voluntary PAD (i.e. patient-requested PAD) and nonvoluntary PAD, see Savulescu (2005), Lillehammer (2002), and Young (2007).</w:t>
      </w:r>
    </w:p>
  </w:footnote>
  <w:footnote w:id="5">
    <w:p w14:paraId="49DB9B0A" w14:textId="0512027E" w:rsidR="000D5CE8" w:rsidRPr="007E51CA" w:rsidRDefault="000D5CE8" w:rsidP="00502F1A">
      <w:pPr>
        <w:rPr>
          <w:rFonts w:ascii="Garamond" w:eastAsia="Times New Roman" w:hAnsi="Garamond" w:cs="Times New Roman"/>
          <w:sz w:val="20"/>
          <w:szCs w:val="20"/>
          <w:lang w:eastAsia="nl-NL"/>
        </w:rPr>
      </w:pPr>
      <w:r w:rsidRPr="00740AF9">
        <w:rPr>
          <w:rStyle w:val="FootnoteReference"/>
          <w:rFonts w:ascii="Garamond" w:hAnsi="Garamond"/>
          <w:sz w:val="20"/>
          <w:szCs w:val="20"/>
        </w:rPr>
        <w:footnoteRef/>
      </w:r>
      <w:r w:rsidRPr="00740AF9">
        <w:rPr>
          <w:rFonts w:ascii="Garamond" w:hAnsi="Garamond"/>
          <w:sz w:val="20"/>
          <w:szCs w:val="20"/>
        </w:rPr>
        <w:t xml:space="preserve"> </w:t>
      </w:r>
      <w:r w:rsidRPr="009C53E0">
        <w:rPr>
          <w:rFonts w:ascii="Garamond" w:eastAsia="Times New Roman" w:hAnsi="Garamond" w:cs="Times New Roman"/>
          <w:sz w:val="20"/>
          <w:szCs w:val="20"/>
          <w:lang w:eastAsia="nl-NL"/>
        </w:rPr>
        <w:t>We follow Appelbaum (</w:t>
      </w:r>
      <w:r w:rsidRPr="007E51CA">
        <w:rPr>
          <w:rFonts w:ascii="Garamond" w:eastAsia="Times New Roman" w:hAnsi="Garamond" w:cs="Times New Roman"/>
          <w:sz w:val="20"/>
          <w:szCs w:val="20"/>
          <w:lang w:eastAsia="nl-NL"/>
        </w:rPr>
        <w:t xml:space="preserve">2007) in using "competence" and "decision-making capacity" interchangeably. Although different methods exist for assessing competence, we make only the standard assumptions that competence requires certain abilities to understand, appreciate, reason, and communicate. </w:t>
      </w:r>
    </w:p>
  </w:footnote>
  <w:footnote w:id="6">
    <w:p w14:paraId="2959BE52" w14:textId="3E0DC447" w:rsidR="000D5CE8" w:rsidRPr="00740AF9" w:rsidRDefault="000D5CE8" w:rsidP="001C39AB">
      <w:pPr>
        <w:pBdr>
          <w:top w:val="nil"/>
          <w:left w:val="nil"/>
          <w:bottom w:val="nil"/>
          <w:right w:val="nil"/>
          <w:between w:val="nil"/>
        </w:pBdr>
        <w:jc w:val="both"/>
        <w:rPr>
          <w:rFonts w:ascii="Garamond" w:eastAsia="Garamond" w:hAnsi="Garamond" w:cs="Garamond"/>
          <w:color w:val="000000"/>
          <w:sz w:val="20"/>
          <w:szCs w:val="20"/>
        </w:rPr>
      </w:pPr>
      <w:r w:rsidRPr="00740AF9">
        <w:rPr>
          <w:rFonts w:ascii="Garamond" w:hAnsi="Garamond"/>
          <w:sz w:val="20"/>
          <w:szCs w:val="20"/>
          <w:vertAlign w:val="superscript"/>
        </w:rPr>
        <w:footnoteRef/>
      </w:r>
      <w:r w:rsidRPr="00740AF9">
        <w:rPr>
          <w:rFonts w:ascii="Garamond" w:eastAsia="Garamond" w:hAnsi="Garamond" w:cs="Garamond"/>
          <w:color w:val="000000"/>
          <w:sz w:val="20"/>
          <w:szCs w:val="20"/>
        </w:rPr>
        <w:t xml:space="preserve">  In the United States, Canada, and Europe, for instance, cancer patients account for 70% of PAD-recipients (Emanuel et al. 2016).</w:t>
      </w:r>
    </w:p>
  </w:footnote>
  <w:footnote w:id="7">
    <w:p w14:paraId="79F644AD" w14:textId="4A7BB7D8" w:rsidR="000D5CE8" w:rsidRPr="00740AF9"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Brock (1992); Dworkin (1993).  </w:t>
      </w:r>
    </w:p>
  </w:footnote>
  <w:footnote w:id="8">
    <w:p w14:paraId="2C740010" w14:textId="0F076EA5" w:rsidR="000D5CE8" w:rsidRPr="00740AF9"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Sumner (2011); Young (2007). </w:t>
      </w:r>
    </w:p>
  </w:footnote>
  <w:footnote w:id="9">
    <w:p w14:paraId="0F3B1335" w14:textId="79B57C4E" w:rsidR="000D5CE8" w:rsidRPr="007E51CA"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Dworkin (1986)</w:t>
      </w:r>
      <w:r w:rsidRPr="009C53E0">
        <w:rPr>
          <w:rFonts w:ascii="Garamond" w:hAnsi="Garamond"/>
        </w:rPr>
        <w:t>,</w:t>
      </w:r>
      <w:r w:rsidRPr="007E51CA">
        <w:rPr>
          <w:rFonts w:ascii="Garamond" w:hAnsi="Garamond"/>
        </w:rPr>
        <w:t xml:space="preserve"> Buchanan and Brock (1989), and Kuhse (1999). </w:t>
      </w:r>
    </w:p>
  </w:footnote>
  <w:footnote w:id="10">
    <w:p w14:paraId="39B525C0" w14:textId="2B2C6FB5" w:rsidR="000D5CE8" w:rsidRPr="00740AF9"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See Kamm (2007), Quinn (1989), and Foot (1984) for views that invoke the stringency of negative rights to explain why killing might be worse than letting die.</w:t>
      </w:r>
    </w:p>
  </w:footnote>
  <w:footnote w:id="11">
    <w:p w14:paraId="4D482CF5" w14:textId="426EACA7" w:rsidR="000D5CE8" w:rsidRPr="007E51CA" w:rsidRDefault="000D5CE8">
      <w:pPr>
        <w:pStyle w:val="FootnoteText"/>
        <w:rPr>
          <w:rFonts w:ascii="Garamond" w:hAnsi="Garamond"/>
        </w:rPr>
      </w:pPr>
      <w:r w:rsidRPr="00740AF9">
        <w:rPr>
          <w:rStyle w:val="FootnoteReference"/>
          <w:rFonts w:ascii="Garamond" w:hAnsi="Garamond"/>
        </w:rPr>
        <w:footnoteRef/>
      </w:r>
      <w:r w:rsidRPr="00740AF9">
        <w:rPr>
          <w:rFonts w:ascii="Garamond" w:hAnsi="Garamond"/>
        </w:rPr>
        <w:t xml:space="preserve"> </w:t>
      </w:r>
      <w:r w:rsidRPr="007E51CA">
        <w:rPr>
          <w:rFonts w:ascii="Garamond" w:hAnsi="Garamond"/>
        </w:rPr>
        <w:t>Golden and Zoanni (2010).</w:t>
      </w:r>
    </w:p>
  </w:footnote>
  <w:footnote w:id="12">
    <w:p w14:paraId="75EA6F86" w14:textId="77777777" w:rsidR="000D5CE8" w:rsidRPr="00740AF9"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Pandit et al. (2014).</w:t>
      </w:r>
    </w:p>
  </w:footnote>
  <w:footnote w:id="13">
    <w:p w14:paraId="31217504" w14:textId="153360F9" w:rsidR="000D5CE8" w:rsidRPr="007E51CA"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Liber</w:t>
      </w:r>
      <w:r w:rsidRPr="009C53E0">
        <w:rPr>
          <w:rFonts w:ascii="Garamond" w:hAnsi="Garamond"/>
        </w:rPr>
        <w:t>to (2017), for instance, argues that even if one can promise sex in advance, their promise</w:t>
      </w:r>
      <w:r w:rsidRPr="007E51CA">
        <w:rPr>
          <w:rFonts w:ascii="Garamond" w:hAnsi="Garamond"/>
        </w:rPr>
        <w:t>e will be under an obligation to refuse the promise. See also Liberto (2009).</w:t>
      </w:r>
    </w:p>
  </w:footnote>
  <w:footnote w:id="14">
    <w:p w14:paraId="5D35F8E1" w14:textId="7B50C325" w:rsidR="000D5CE8" w:rsidRPr="007E51CA"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w:t>
      </w:r>
      <w:r w:rsidRPr="009C53E0">
        <w:rPr>
          <w:rFonts w:ascii="Garamond" w:hAnsi="Garamond"/>
        </w:rPr>
        <w:t xml:space="preserve">For a discussion and defense of this practice, see Manninen (2006). </w:t>
      </w:r>
    </w:p>
  </w:footnote>
  <w:footnote w:id="15">
    <w:p w14:paraId="3F99629A" w14:textId="4AA1A646" w:rsidR="000D5CE8" w:rsidRPr="007E51CA" w:rsidRDefault="000D5CE8" w:rsidP="001C39AB">
      <w:pPr>
        <w:jc w:val="both"/>
        <w:rPr>
          <w:rFonts w:ascii="Garamond" w:hAnsi="Garamond"/>
          <w:sz w:val="20"/>
          <w:szCs w:val="20"/>
        </w:rPr>
      </w:pPr>
      <w:r w:rsidRPr="007E51CA">
        <w:rPr>
          <w:rFonts w:ascii="Garamond" w:hAnsi="Garamond"/>
          <w:sz w:val="20"/>
          <w:szCs w:val="20"/>
          <w:vertAlign w:val="superscript"/>
        </w:rPr>
        <w:footnoteRef/>
      </w:r>
      <w:r w:rsidRPr="007E51CA">
        <w:rPr>
          <w:rFonts w:ascii="Garamond" w:hAnsi="Garamond"/>
          <w:sz w:val="20"/>
          <w:szCs w:val="20"/>
        </w:rPr>
        <w:t xml:space="preserve"> </w:t>
      </w:r>
      <w:r w:rsidRPr="007E51CA">
        <w:rPr>
          <w:rFonts w:ascii="Garamond" w:eastAsia="Times New Roman" w:hAnsi="Garamond" w:cs="Times New Roman"/>
          <w:sz w:val="20"/>
          <w:szCs w:val="20"/>
        </w:rPr>
        <w:t>The ‘substituted judgment’ standard requires that surrogate decision makers make decisions by reasoning about what the patient would have wanted. When patient preferences are unknown, surrogate decision makers must follow the ‘best interests standard’ (</w:t>
      </w:r>
      <w:r w:rsidRPr="007E51CA">
        <w:rPr>
          <w:rFonts w:ascii="Garamond" w:eastAsia="Times New Roman" w:hAnsi="Garamond" w:cs="Times New Roman"/>
          <w:i/>
          <w:sz w:val="20"/>
          <w:szCs w:val="20"/>
        </w:rPr>
        <w:t>AMA Code of Medical Ethics</w:t>
      </w:r>
      <w:r w:rsidRPr="007E51CA">
        <w:rPr>
          <w:rFonts w:ascii="Garamond" w:eastAsia="Times New Roman" w:hAnsi="Garamond" w:cs="Times New Roman"/>
          <w:sz w:val="20"/>
          <w:szCs w:val="20"/>
        </w:rPr>
        <w:t xml:space="preserve">, Opinion 2.1.2 https://www.ama-assn.org/delivering-care/ethics/decisions-adult-patients-who-lack-capacity).  There are empirical questions about whether our loved ones are well positioned to use the substituted judgment standard; we will touch upon these questions in </w:t>
      </w:r>
      <w:r w:rsidRPr="007E51CA">
        <w:rPr>
          <w:rFonts w:ascii="Garamond" w:eastAsia="Times New Roman" w:hAnsi="Garamond" w:cs="Times New Roman"/>
          <w:b/>
          <w:sz w:val="20"/>
          <w:szCs w:val="20"/>
        </w:rPr>
        <w:t>Section 4.3</w:t>
      </w:r>
      <w:r w:rsidRPr="007E51CA">
        <w:rPr>
          <w:rFonts w:ascii="Garamond" w:eastAsia="Times New Roman" w:hAnsi="Garamond" w:cs="Times New Roman"/>
          <w:sz w:val="20"/>
          <w:szCs w:val="20"/>
        </w:rPr>
        <w:t xml:space="preserve">. </w:t>
      </w:r>
    </w:p>
  </w:footnote>
  <w:footnote w:id="16">
    <w:p w14:paraId="7A689412" w14:textId="337932C6" w:rsidR="000D5CE8" w:rsidRPr="007E51CA" w:rsidRDefault="000D5CE8" w:rsidP="001C39AB">
      <w:pPr>
        <w:jc w:val="both"/>
        <w:rPr>
          <w:rFonts w:ascii="Garamond" w:hAnsi="Garamond"/>
          <w:sz w:val="20"/>
          <w:szCs w:val="20"/>
        </w:rPr>
      </w:pPr>
      <w:r w:rsidRPr="007E51CA">
        <w:rPr>
          <w:rFonts w:ascii="Garamond" w:hAnsi="Garamond"/>
          <w:sz w:val="20"/>
          <w:szCs w:val="20"/>
          <w:vertAlign w:val="superscript"/>
        </w:rPr>
        <w:footnoteRef/>
      </w:r>
      <w:r w:rsidRPr="007E51CA">
        <w:rPr>
          <w:rFonts w:ascii="Garamond" w:hAnsi="Garamond"/>
          <w:sz w:val="20"/>
          <w:szCs w:val="20"/>
        </w:rPr>
        <w:t xml:space="preserve"> </w:t>
      </w:r>
      <w:r w:rsidRPr="007E51CA">
        <w:rPr>
          <w:rFonts w:ascii="Garamond" w:eastAsia="Times New Roman" w:hAnsi="Garamond" w:cs="Times New Roman"/>
          <w:sz w:val="20"/>
          <w:szCs w:val="20"/>
        </w:rPr>
        <w:t>Enoch (2017) pp. 30-35.</w:t>
      </w:r>
    </w:p>
  </w:footnote>
  <w:footnote w:id="17">
    <w:p w14:paraId="17BF9FAC" w14:textId="77777777" w:rsidR="000D5CE8" w:rsidRPr="007E51CA" w:rsidRDefault="000D5CE8" w:rsidP="001C39AB">
      <w:pPr>
        <w:jc w:val="both"/>
        <w:rPr>
          <w:rFonts w:ascii="Garamond" w:hAnsi="Garamond"/>
          <w:sz w:val="20"/>
          <w:szCs w:val="20"/>
        </w:rPr>
      </w:pPr>
      <w:r w:rsidRPr="00740AF9">
        <w:rPr>
          <w:rFonts w:ascii="Garamond" w:hAnsi="Garamond"/>
          <w:sz w:val="20"/>
          <w:szCs w:val="20"/>
          <w:vertAlign w:val="superscript"/>
        </w:rPr>
        <w:footnoteRef/>
      </w:r>
      <w:r w:rsidRPr="00740AF9">
        <w:rPr>
          <w:rFonts w:ascii="Garamond" w:hAnsi="Garamond"/>
          <w:sz w:val="20"/>
          <w:szCs w:val="20"/>
        </w:rPr>
        <w:t xml:space="preserve"> Walasek et al. (2019); Smith</w:t>
      </w:r>
      <w:r w:rsidRPr="009C53E0">
        <w:rPr>
          <w:rFonts w:ascii="Garamond" w:hAnsi="Garamond"/>
          <w:color w:val="000000" w:themeColor="text1"/>
          <w:sz w:val="20"/>
          <w:szCs w:val="20"/>
        </w:rPr>
        <w:t xml:space="preserve"> et al. (2006); Lacey et. al. (2006); </w:t>
      </w:r>
      <w:r w:rsidRPr="007E51CA">
        <w:rPr>
          <w:rFonts w:ascii="Garamond" w:hAnsi="Garamond"/>
          <w:sz w:val="20"/>
          <w:szCs w:val="20"/>
        </w:rPr>
        <w:t>Bernfort (2018).</w:t>
      </w:r>
    </w:p>
  </w:footnote>
  <w:footnote w:id="18">
    <w:p w14:paraId="2D5D4DBF" w14:textId="77777777" w:rsidR="000D5CE8" w:rsidRPr="00740AF9"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Auriemma et al. (2014).</w:t>
      </w:r>
    </w:p>
  </w:footnote>
  <w:footnote w:id="19">
    <w:p w14:paraId="7A395F0A" w14:textId="77777777" w:rsidR="000D5CE8" w:rsidRPr="00740AF9" w:rsidRDefault="000D5CE8" w:rsidP="001C39AB">
      <w:pPr>
        <w:jc w:val="both"/>
        <w:rPr>
          <w:rFonts w:ascii="Garamond" w:hAnsi="Garamond"/>
          <w:sz w:val="20"/>
          <w:szCs w:val="20"/>
        </w:rPr>
      </w:pPr>
      <w:r w:rsidRPr="00740AF9">
        <w:rPr>
          <w:rFonts w:ascii="Garamond" w:hAnsi="Garamond"/>
          <w:sz w:val="20"/>
          <w:szCs w:val="20"/>
          <w:vertAlign w:val="superscript"/>
        </w:rPr>
        <w:footnoteRef/>
      </w:r>
      <w:r w:rsidRPr="00740AF9">
        <w:rPr>
          <w:rFonts w:ascii="Garamond" w:hAnsi="Garamond"/>
          <w:sz w:val="20"/>
          <w:szCs w:val="20"/>
        </w:rPr>
        <w:t xml:space="preserve"> Ibid.</w:t>
      </w:r>
    </w:p>
  </w:footnote>
  <w:footnote w:id="20">
    <w:p w14:paraId="1131AF89" w14:textId="77777777" w:rsidR="000D5CE8" w:rsidRPr="00740AF9" w:rsidRDefault="000D5CE8" w:rsidP="001C39AB">
      <w:pPr>
        <w:jc w:val="both"/>
        <w:rPr>
          <w:rFonts w:ascii="Garamond" w:hAnsi="Garamond"/>
          <w:sz w:val="20"/>
          <w:szCs w:val="20"/>
        </w:rPr>
      </w:pPr>
      <w:r w:rsidRPr="00740AF9">
        <w:rPr>
          <w:rFonts w:ascii="Garamond" w:hAnsi="Garamond"/>
          <w:sz w:val="20"/>
          <w:szCs w:val="20"/>
          <w:vertAlign w:val="superscript"/>
        </w:rPr>
        <w:footnoteRef/>
      </w:r>
      <w:r w:rsidRPr="00740AF9">
        <w:rPr>
          <w:rFonts w:ascii="Garamond" w:hAnsi="Garamond"/>
          <w:sz w:val="20"/>
          <w:szCs w:val="20"/>
        </w:rPr>
        <w:t xml:space="preserve"> van Wijmen et al. (2018).</w:t>
      </w:r>
    </w:p>
  </w:footnote>
  <w:footnote w:id="21">
    <w:p w14:paraId="3A27C9E6" w14:textId="5963D9CF" w:rsidR="000D5CE8" w:rsidRPr="00740AF9" w:rsidRDefault="000D5CE8" w:rsidP="001C39AB">
      <w:pPr>
        <w:jc w:val="both"/>
        <w:rPr>
          <w:rFonts w:ascii="Garamond" w:hAnsi="Garamond"/>
          <w:sz w:val="20"/>
          <w:szCs w:val="20"/>
        </w:rPr>
      </w:pPr>
      <w:r w:rsidRPr="00740AF9">
        <w:rPr>
          <w:rFonts w:ascii="Garamond" w:hAnsi="Garamond"/>
          <w:sz w:val="20"/>
          <w:szCs w:val="20"/>
          <w:vertAlign w:val="superscript"/>
        </w:rPr>
        <w:footnoteRef/>
      </w:r>
      <w:r w:rsidRPr="00740AF9">
        <w:rPr>
          <w:rFonts w:ascii="Garamond" w:hAnsi="Garamond"/>
          <w:sz w:val="20"/>
          <w:szCs w:val="20"/>
        </w:rPr>
        <w:t xml:space="preserve"> Miller et al. (2019).</w:t>
      </w:r>
    </w:p>
  </w:footnote>
  <w:footnote w:id="22">
    <w:p w14:paraId="23796010" w14:textId="4EE3E92A" w:rsidR="000D5CE8" w:rsidRPr="009C53E0"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Menzel and Steinbock</w:t>
      </w:r>
      <w:r w:rsidRPr="009C53E0">
        <w:rPr>
          <w:rFonts w:ascii="Garamond" w:hAnsi="Garamond"/>
        </w:rPr>
        <w:t xml:space="preserve"> (2013).</w:t>
      </w:r>
    </w:p>
  </w:footnote>
  <w:footnote w:id="23">
    <w:p w14:paraId="161EE3A7" w14:textId="5B9A7C3B" w:rsidR="000D5CE8" w:rsidRPr="009C53E0" w:rsidRDefault="000D5CE8" w:rsidP="002F58F9">
      <w:pPr>
        <w:pStyle w:val="FootnoteText"/>
        <w:rPr>
          <w:rFonts w:ascii="Garamond" w:hAnsi="Garamond"/>
        </w:rPr>
      </w:pPr>
      <w:r w:rsidRPr="000C0332">
        <w:rPr>
          <w:rStyle w:val="FootnoteReference"/>
          <w:rFonts w:ascii="Garamond" w:hAnsi="Garamond"/>
        </w:rPr>
        <w:footnoteRef/>
      </w:r>
      <w:r w:rsidRPr="000C0332">
        <w:rPr>
          <w:rFonts w:ascii="Garamond" w:hAnsi="Garamond"/>
        </w:rPr>
        <w:t xml:space="preserve"> </w:t>
      </w:r>
      <w:r w:rsidRPr="00740AF9">
        <w:rPr>
          <w:rFonts w:ascii="Garamond" w:hAnsi="Garamond"/>
        </w:rPr>
        <w:t>Reed (2020).</w:t>
      </w:r>
    </w:p>
  </w:footnote>
  <w:footnote w:id="24">
    <w:p w14:paraId="026701AF" w14:textId="1ABFCC3E" w:rsidR="000D5CE8" w:rsidRPr="007E51CA" w:rsidRDefault="000D5CE8" w:rsidP="001C39AB">
      <w:pPr>
        <w:pStyle w:val="FootnoteText"/>
        <w:jc w:val="both"/>
        <w:rPr>
          <w:rFonts w:ascii="Garamond" w:hAnsi="Garamond"/>
        </w:rPr>
      </w:pPr>
      <w:r w:rsidRPr="009C53E0">
        <w:rPr>
          <w:rStyle w:val="FootnoteReference"/>
          <w:rFonts w:ascii="Garamond" w:hAnsi="Garamond"/>
        </w:rPr>
        <w:footnoteRef/>
      </w:r>
      <w:r w:rsidRPr="009C53E0">
        <w:rPr>
          <w:rFonts w:ascii="Garamond" w:hAnsi="Garamond"/>
        </w:rPr>
        <w:t xml:space="preserve"> </w:t>
      </w:r>
      <w:r w:rsidRPr="007E51CA">
        <w:rPr>
          <w:rFonts w:ascii="Garamond" w:eastAsia="Garamond" w:hAnsi="Garamond" w:cs="Garamond"/>
        </w:rPr>
        <w:t>Shalowitz et al. (2006).</w:t>
      </w:r>
    </w:p>
  </w:footnote>
  <w:footnote w:id="25">
    <w:p w14:paraId="4D93D30E" w14:textId="3674B933" w:rsidR="000D5CE8" w:rsidRPr="007E51CA" w:rsidRDefault="000D5CE8" w:rsidP="001C39AB">
      <w:pPr>
        <w:pStyle w:val="FootnoteText"/>
        <w:jc w:val="both"/>
        <w:rPr>
          <w:rFonts w:ascii="Garamond" w:hAnsi="Garamond"/>
        </w:rPr>
      </w:pPr>
      <w:r w:rsidRPr="009C53E0">
        <w:rPr>
          <w:rStyle w:val="FootnoteReference"/>
          <w:rFonts w:ascii="Garamond" w:hAnsi="Garamond"/>
        </w:rPr>
        <w:footnoteRef/>
      </w:r>
      <w:r w:rsidRPr="009C53E0">
        <w:rPr>
          <w:rFonts w:ascii="Garamond" w:hAnsi="Garamond"/>
        </w:rPr>
        <w:t xml:space="preserve"> Rao et</w:t>
      </w:r>
      <w:r w:rsidRPr="007E51CA">
        <w:rPr>
          <w:rFonts w:ascii="Garamond" w:hAnsi="Garamond"/>
        </w:rPr>
        <w:t xml:space="preserve"> al. (2014).</w:t>
      </w:r>
    </w:p>
  </w:footnote>
  <w:footnote w:id="26">
    <w:p w14:paraId="2F55450D" w14:textId="36F1B757" w:rsidR="000D5CE8" w:rsidRPr="007E51CA" w:rsidRDefault="000D5CE8" w:rsidP="001C39AB">
      <w:pPr>
        <w:pBdr>
          <w:top w:val="nil"/>
          <w:left w:val="nil"/>
          <w:bottom w:val="nil"/>
          <w:right w:val="nil"/>
          <w:between w:val="nil"/>
        </w:pBdr>
        <w:jc w:val="both"/>
        <w:rPr>
          <w:rFonts w:ascii="Garamond" w:hAnsi="Garamond"/>
          <w:color w:val="000000"/>
          <w:sz w:val="20"/>
          <w:szCs w:val="20"/>
        </w:rPr>
      </w:pPr>
      <w:r w:rsidRPr="009C53E0">
        <w:rPr>
          <w:rFonts w:ascii="Garamond" w:hAnsi="Garamond"/>
          <w:sz w:val="20"/>
          <w:szCs w:val="20"/>
          <w:vertAlign w:val="superscript"/>
        </w:rPr>
        <w:footnoteRef/>
      </w:r>
      <w:r w:rsidRPr="009C53E0">
        <w:rPr>
          <w:rFonts w:ascii="Garamond" w:hAnsi="Garamond"/>
          <w:color w:val="000000"/>
          <w:sz w:val="20"/>
          <w:szCs w:val="20"/>
        </w:rPr>
        <w:t xml:space="preserve"> </w:t>
      </w:r>
      <w:r w:rsidRPr="007E51CA">
        <w:rPr>
          <w:rFonts w:ascii="Garamond" w:eastAsia="Garamond" w:hAnsi="Garamond" w:cs="Garamond"/>
          <w:color w:val="000000"/>
          <w:sz w:val="20"/>
          <w:szCs w:val="20"/>
        </w:rPr>
        <w:t>Hanvey et al. (2013).</w:t>
      </w:r>
    </w:p>
  </w:footnote>
  <w:footnote w:id="27">
    <w:p w14:paraId="365317C2" w14:textId="38885E63" w:rsidR="000D5CE8" w:rsidRPr="007E51CA" w:rsidRDefault="000D5CE8" w:rsidP="001C39AB">
      <w:pPr>
        <w:pStyle w:val="FootnoteText"/>
        <w:jc w:val="both"/>
        <w:rPr>
          <w:rFonts w:ascii="Garamond" w:hAnsi="Garamond"/>
        </w:rPr>
      </w:pPr>
      <w:r w:rsidRPr="00740AF9">
        <w:rPr>
          <w:rStyle w:val="FootnoteReference"/>
          <w:rFonts w:ascii="Garamond" w:hAnsi="Garamond"/>
        </w:rPr>
        <w:footnoteRef/>
      </w:r>
      <w:r w:rsidRPr="00740AF9">
        <w:rPr>
          <w:rFonts w:ascii="Garamond" w:hAnsi="Garamond"/>
        </w:rPr>
        <w:t xml:space="preserve"> State-</w:t>
      </w:r>
      <w:r w:rsidRPr="007E51CA">
        <w:rPr>
          <w:rFonts w:ascii="Garamond" w:hAnsi="Garamond"/>
        </w:rPr>
        <w:t xml:space="preserve">appointed, unfamiliar surrogates may still, arguably, be able to reason about whether PAD is in a patient’s best interests, without having information about the patient’s values. We do not have the space to consider whether the ‘best interests standard’ could justify PAD. Nevertheless, we think that this justification would be weaker than one that appeals to patient autonomy, in part because whether or not PAD is in a patient’s interests is arguably determined by the patient’s values.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39"/>
    <w:rsid w:val="000153E4"/>
    <w:rsid w:val="00020CDC"/>
    <w:rsid w:val="00022563"/>
    <w:rsid w:val="00025509"/>
    <w:rsid w:val="000353CC"/>
    <w:rsid w:val="00044969"/>
    <w:rsid w:val="00053C21"/>
    <w:rsid w:val="0005406D"/>
    <w:rsid w:val="00060C8E"/>
    <w:rsid w:val="000674D2"/>
    <w:rsid w:val="00072335"/>
    <w:rsid w:val="00076F51"/>
    <w:rsid w:val="00096715"/>
    <w:rsid w:val="000A5D38"/>
    <w:rsid w:val="000B27E5"/>
    <w:rsid w:val="000B63B9"/>
    <w:rsid w:val="000C0332"/>
    <w:rsid w:val="000D2237"/>
    <w:rsid w:val="000D5CE8"/>
    <w:rsid w:val="000D7002"/>
    <w:rsid w:val="000D7B61"/>
    <w:rsid w:val="000E0BB4"/>
    <w:rsid w:val="000F3306"/>
    <w:rsid w:val="000F48CF"/>
    <w:rsid w:val="000F7114"/>
    <w:rsid w:val="001000DB"/>
    <w:rsid w:val="00100AF5"/>
    <w:rsid w:val="00106BC3"/>
    <w:rsid w:val="0012736B"/>
    <w:rsid w:val="0012763F"/>
    <w:rsid w:val="00135272"/>
    <w:rsid w:val="0013718F"/>
    <w:rsid w:val="0013794A"/>
    <w:rsid w:val="00137DFE"/>
    <w:rsid w:val="00140F02"/>
    <w:rsid w:val="0014330E"/>
    <w:rsid w:val="00146930"/>
    <w:rsid w:val="00150D39"/>
    <w:rsid w:val="00153014"/>
    <w:rsid w:val="00162FB1"/>
    <w:rsid w:val="00173C00"/>
    <w:rsid w:val="00181134"/>
    <w:rsid w:val="00182EED"/>
    <w:rsid w:val="00184601"/>
    <w:rsid w:val="00186DDD"/>
    <w:rsid w:val="001A096C"/>
    <w:rsid w:val="001A1F73"/>
    <w:rsid w:val="001A26FE"/>
    <w:rsid w:val="001A7803"/>
    <w:rsid w:val="001B19F1"/>
    <w:rsid w:val="001B391D"/>
    <w:rsid w:val="001C1261"/>
    <w:rsid w:val="001C39AB"/>
    <w:rsid w:val="001D0F0A"/>
    <w:rsid w:val="001D4893"/>
    <w:rsid w:val="001D5702"/>
    <w:rsid w:val="001D5D58"/>
    <w:rsid w:val="001E082E"/>
    <w:rsid w:val="001E25BF"/>
    <w:rsid w:val="001E378D"/>
    <w:rsid w:val="00204C6A"/>
    <w:rsid w:val="00206BBC"/>
    <w:rsid w:val="0021173E"/>
    <w:rsid w:val="002174B1"/>
    <w:rsid w:val="00231820"/>
    <w:rsid w:val="002372C6"/>
    <w:rsid w:val="00243756"/>
    <w:rsid w:val="0025272B"/>
    <w:rsid w:val="00255AB6"/>
    <w:rsid w:val="00255F6C"/>
    <w:rsid w:val="002564D0"/>
    <w:rsid w:val="00261D47"/>
    <w:rsid w:val="002632AA"/>
    <w:rsid w:val="002703DB"/>
    <w:rsid w:val="00270B2D"/>
    <w:rsid w:val="00272124"/>
    <w:rsid w:val="002771A9"/>
    <w:rsid w:val="00285D2F"/>
    <w:rsid w:val="00286903"/>
    <w:rsid w:val="002A3BD3"/>
    <w:rsid w:val="002B40F7"/>
    <w:rsid w:val="002B5CD1"/>
    <w:rsid w:val="002C4117"/>
    <w:rsid w:val="002C431D"/>
    <w:rsid w:val="002D2BBF"/>
    <w:rsid w:val="002E2C4A"/>
    <w:rsid w:val="002E4207"/>
    <w:rsid w:val="002F4A5C"/>
    <w:rsid w:val="002F5718"/>
    <w:rsid w:val="002F58F9"/>
    <w:rsid w:val="002F679B"/>
    <w:rsid w:val="00302DEB"/>
    <w:rsid w:val="00305F4E"/>
    <w:rsid w:val="00311A3C"/>
    <w:rsid w:val="003167C8"/>
    <w:rsid w:val="00321DAF"/>
    <w:rsid w:val="003264FA"/>
    <w:rsid w:val="00332BF8"/>
    <w:rsid w:val="0034454D"/>
    <w:rsid w:val="0035382B"/>
    <w:rsid w:val="00356A6F"/>
    <w:rsid w:val="00356AC0"/>
    <w:rsid w:val="00366BF2"/>
    <w:rsid w:val="00366CB8"/>
    <w:rsid w:val="00371701"/>
    <w:rsid w:val="00375C35"/>
    <w:rsid w:val="00382CFE"/>
    <w:rsid w:val="00396AFD"/>
    <w:rsid w:val="003A7676"/>
    <w:rsid w:val="003B64D7"/>
    <w:rsid w:val="003C3ED5"/>
    <w:rsid w:val="003C532C"/>
    <w:rsid w:val="003C6BB2"/>
    <w:rsid w:val="003D51B5"/>
    <w:rsid w:val="003D6DF2"/>
    <w:rsid w:val="003D779F"/>
    <w:rsid w:val="003D7EAC"/>
    <w:rsid w:val="003E1B1B"/>
    <w:rsid w:val="003E2885"/>
    <w:rsid w:val="003E7F98"/>
    <w:rsid w:val="003F64F8"/>
    <w:rsid w:val="0040055E"/>
    <w:rsid w:val="004040C4"/>
    <w:rsid w:val="00407DB6"/>
    <w:rsid w:val="004105A5"/>
    <w:rsid w:val="00411AE5"/>
    <w:rsid w:val="004165A5"/>
    <w:rsid w:val="00421EA6"/>
    <w:rsid w:val="004260C3"/>
    <w:rsid w:val="00427F2E"/>
    <w:rsid w:val="00433431"/>
    <w:rsid w:val="00440270"/>
    <w:rsid w:val="0045781B"/>
    <w:rsid w:val="00471B0C"/>
    <w:rsid w:val="004824B1"/>
    <w:rsid w:val="00482C1F"/>
    <w:rsid w:val="0048358F"/>
    <w:rsid w:val="00494BA0"/>
    <w:rsid w:val="004978C7"/>
    <w:rsid w:val="004A0F8E"/>
    <w:rsid w:val="004A28D8"/>
    <w:rsid w:val="004A3F20"/>
    <w:rsid w:val="004A5451"/>
    <w:rsid w:val="004A72AB"/>
    <w:rsid w:val="004A7411"/>
    <w:rsid w:val="004B4D28"/>
    <w:rsid w:val="004C06B2"/>
    <w:rsid w:val="004C6DA9"/>
    <w:rsid w:val="004D4873"/>
    <w:rsid w:val="004E05C7"/>
    <w:rsid w:val="004E48E0"/>
    <w:rsid w:val="004F5E3A"/>
    <w:rsid w:val="005024CD"/>
    <w:rsid w:val="00502F1A"/>
    <w:rsid w:val="005043BB"/>
    <w:rsid w:val="00507849"/>
    <w:rsid w:val="005152EB"/>
    <w:rsid w:val="00520FA4"/>
    <w:rsid w:val="00536C33"/>
    <w:rsid w:val="005437AD"/>
    <w:rsid w:val="005450A2"/>
    <w:rsid w:val="005623D5"/>
    <w:rsid w:val="00581462"/>
    <w:rsid w:val="005934D3"/>
    <w:rsid w:val="00597BA7"/>
    <w:rsid w:val="005B1297"/>
    <w:rsid w:val="005B29A1"/>
    <w:rsid w:val="005C0105"/>
    <w:rsid w:val="005C1165"/>
    <w:rsid w:val="005C5BF6"/>
    <w:rsid w:val="005C70BF"/>
    <w:rsid w:val="005D0E78"/>
    <w:rsid w:val="005E2C7D"/>
    <w:rsid w:val="0060239C"/>
    <w:rsid w:val="0061203B"/>
    <w:rsid w:val="00615CA5"/>
    <w:rsid w:val="00620F86"/>
    <w:rsid w:val="00624B25"/>
    <w:rsid w:val="00633CC8"/>
    <w:rsid w:val="00634764"/>
    <w:rsid w:val="00651C5B"/>
    <w:rsid w:val="00657628"/>
    <w:rsid w:val="00665C09"/>
    <w:rsid w:val="00691140"/>
    <w:rsid w:val="006A19B7"/>
    <w:rsid w:val="006A22D1"/>
    <w:rsid w:val="006B166F"/>
    <w:rsid w:val="006B2F0C"/>
    <w:rsid w:val="006C00F5"/>
    <w:rsid w:val="006C078E"/>
    <w:rsid w:val="006C34B1"/>
    <w:rsid w:val="006C72DE"/>
    <w:rsid w:val="006C79FE"/>
    <w:rsid w:val="006E0871"/>
    <w:rsid w:val="006E7D21"/>
    <w:rsid w:val="00704075"/>
    <w:rsid w:val="00704D2C"/>
    <w:rsid w:val="007126FD"/>
    <w:rsid w:val="00721DEC"/>
    <w:rsid w:val="007243CD"/>
    <w:rsid w:val="00726EA3"/>
    <w:rsid w:val="00735FCE"/>
    <w:rsid w:val="007364A3"/>
    <w:rsid w:val="00740AF9"/>
    <w:rsid w:val="00746D46"/>
    <w:rsid w:val="00754AD9"/>
    <w:rsid w:val="00763B91"/>
    <w:rsid w:val="00781BF5"/>
    <w:rsid w:val="00795ABB"/>
    <w:rsid w:val="007B06D1"/>
    <w:rsid w:val="007B1549"/>
    <w:rsid w:val="007B502C"/>
    <w:rsid w:val="007B6A21"/>
    <w:rsid w:val="007C5363"/>
    <w:rsid w:val="007C64DB"/>
    <w:rsid w:val="007D1F2A"/>
    <w:rsid w:val="007D6286"/>
    <w:rsid w:val="007E24B2"/>
    <w:rsid w:val="007E51CA"/>
    <w:rsid w:val="007F1733"/>
    <w:rsid w:val="007F1ED1"/>
    <w:rsid w:val="00800032"/>
    <w:rsid w:val="00805487"/>
    <w:rsid w:val="0080605C"/>
    <w:rsid w:val="00811E95"/>
    <w:rsid w:val="0081790D"/>
    <w:rsid w:val="00822E3B"/>
    <w:rsid w:val="00825559"/>
    <w:rsid w:val="00832F64"/>
    <w:rsid w:val="008339BA"/>
    <w:rsid w:val="0083495D"/>
    <w:rsid w:val="008431C1"/>
    <w:rsid w:val="00843CB9"/>
    <w:rsid w:val="0084549C"/>
    <w:rsid w:val="00852887"/>
    <w:rsid w:val="008647EE"/>
    <w:rsid w:val="00873B86"/>
    <w:rsid w:val="00877269"/>
    <w:rsid w:val="008879D5"/>
    <w:rsid w:val="0089746F"/>
    <w:rsid w:val="008A2632"/>
    <w:rsid w:val="008B0FB8"/>
    <w:rsid w:val="008B40CA"/>
    <w:rsid w:val="008B5E75"/>
    <w:rsid w:val="008C606B"/>
    <w:rsid w:val="008F0617"/>
    <w:rsid w:val="00901623"/>
    <w:rsid w:val="00910CAA"/>
    <w:rsid w:val="00917589"/>
    <w:rsid w:val="0093619A"/>
    <w:rsid w:val="0093775F"/>
    <w:rsid w:val="00946BDF"/>
    <w:rsid w:val="00963870"/>
    <w:rsid w:val="00993785"/>
    <w:rsid w:val="00994434"/>
    <w:rsid w:val="009A0E8D"/>
    <w:rsid w:val="009A36BC"/>
    <w:rsid w:val="009A4C4A"/>
    <w:rsid w:val="009A7F5F"/>
    <w:rsid w:val="009B1757"/>
    <w:rsid w:val="009B29F5"/>
    <w:rsid w:val="009B4CD1"/>
    <w:rsid w:val="009B536B"/>
    <w:rsid w:val="009B6647"/>
    <w:rsid w:val="009C53E0"/>
    <w:rsid w:val="009D34A5"/>
    <w:rsid w:val="009D6A1D"/>
    <w:rsid w:val="009D6A46"/>
    <w:rsid w:val="009E43FD"/>
    <w:rsid w:val="009F5C91"/>
    <w:rsid w:val="009F7264"/>
    <w:rsid w:val="00A074EE"/>
    <w:rsid w:val="00A07985"/>
    <w:rsid w:val="00A16738"/>
    <w:rsid w:val="00A33E20"/>
    <w:rsid w:val="00A36384"/>
    <w:rsid w:val="00A418AA"/>
    <w:rsid w:val="00A41ACE"/>
    <w:rsid w:val="00A43FD1"/>
    <w:rsid w:val="00A60195"/>
    <w:rsid w:val="00A61BE2"/>
    <w:rsid w:val="00A638E6"/>
    <w:rsid w:val="00A76493"/>
    <w:rsid w:val="00A80068"/>
    <w:rsid w:val="00A84D6A"/>
    <w:rsid w:val="00A977E3"/>
    <w:rsid w:val="00AA0A43"/>
    <w:rsid w:val="00AA167E"/>
    <w:rsid w:val="00AA2DA6"/>
    <w:rsid w:val="00AA375F"/>
    <w:rsid w:val="00AA65C8"/>
    <w:rsid w:val="00AB1785"/>
    <w:rsid w:val="00AD482A"/>
    <w:rsid w:val="00AE0C26"/>
    <w:rsid w:val="00AE3655"/>
    <w:rsid w:val="00AF2814"/>
    <w:rsid w:val="00AF3108"/>
    <w:rsid w:val="00AF3CF5"/>
    <w:rsid w:val="00B06673"/>
    <w:rsid w:val="00B072C8"/>
    <w:rsid w:val="00B35529"/>
    <w:rsid w:val="00B36702"/>
    <w:rsid w:val="00B4730A"/>
    <w:rsid w:val="00B47F49"/>
    <w:rsid w:val="00B574E7"/>
    <w:rsid w:val="00B7012D"/>
    <w:rsid w:val="00B71FF7"/>
    <w:rsid w:val="00B767AE"/>
    <w:rsid w:val="00B84867"/>
    <w:rsid w:val="00BA167A"/>
    <w:rsid w:val="00BA7114"/>
    <w:rsid w:val="00BB088B"/>
    <w:rsid w:val="00BB366C"/>
    <w:rsid w:val="00BB6E1E"/>
    <w:rsid w:val="00BB7412"/>
    <w:rsid w:val="00BD2AA5"/>
    <w:rsid w:val="00BE0F18"/>
    <w:rsid w:val="00BE123A"/>
    <w:rsid w:val="00BF68EF"/>
    <w:rsid w:val="00C0184A"/>
    <w:rsid w:val="00C0199B"/>
    <w:rsid w:val="00C04859"/>
    <w:rsid w:val="00C079BD"/>
    <w:rsid w:val="00C10DF5"/>
    <w:rsid w:val="00C2649D"/>
    <w:rsid w:val="00C26B5C"/>
    <w:rsid w:val="00C4277F"/>
    <w:rsid w:val="00C43370"/>
    <w:rsid w:val="00C4717A"/>
    <w:rsid w:val="00C477DB"/>
    <w:rsid w:val="00C47C69"/>
    <w:rsid w:val="00C54B76"/>
    <w:rsid w:val="00C64B1F"/>
    <w:rsid w:val="00C757A2"/>
    <w:rsid w:val="00C75EF2"/>
    <w:rsid w:val="00C8016B"/>
    <w:rsid w:val="00C80C16"/>
    <w:rsid w:val="00C83249"/>
    <w:rsid w:val="00C83777"/>
    <w:rsid w:val="00C84608"/>
    <w:rsid w:val="00C90902"/>
    <w:rsid w:val="00C92A8F"/>
    <w:rsid w:val="00C92D6B"/>
    <w:rsid w:val="00CC2BE0"/>
    <w:rsid w:val="00CF4270"/>
    <w:rsid w:val="00D00D3A"/>
    <w:rsid w:val="00D01C7B"/>
    <w:rsid w:val="00D03A02"/>
    <w:rsid w:val="00D13FC8"/>
    <w:rsid w:val="00D21491"/>
    <w:rsid w:val="00D23E1B"/>
    <w:rsid w:val="00D30F01"/>
    <w:rsid w:val="00D363D9"/>
    <w:rsid w:val="00D548A5"/>
    <w:rsid w:val="00D60184"/>
    <w:rsid w:val="00D61064"/>
    <w:rsid w:val="00D658E6"/>
    <w:rsid w:val="00D86969"/>
    <w:rsid w:val="00D96FDF"/>
    <w:rsid w:val="00DA32A9"/>
    <w:rsid w:val="00DA5566"/>
    <w:rsid w:val="00DB0B67"/>
    <w:rsid w:val="00DB1E0D"/>
    <w:rsid w:val="00DB316F"/>
    <w:rsid w:val="00DB3401"/>
    <w:rsid w:val="00DB3A7F"/>
    <w:rsid w:val="00DB4591"/>
    <w:rsid w:val="00DB5269"/>
    <w:rsid w:val="00DC03BD"/>
    <w:rsid w:val="00DC2FD4"/>
    <w:rsid w:val="00DC39B1"/>
    <w:rsid w:val="00DC45F1"/>
    <w:rsid w:val="00DD136F"/>
    <w:rsid w:val="00DD4AFE"/>
    <w:rsid w:val="00DE6528"/>
    <w:rsid w:val="00DE7A76"/>
    <w:rsid w:val="00DF3997"/>
    <w:rsid w:val="00E17F63"/>
    <w:rsid w:val="00E2179E"/>
    <w:rsid w:val="00E23747"/>
    <w:rsid w:val="00E25837"/>
    <w:rsid w:val="00E27083"/>
    <w:rsid w:val="00E312CD"/>
    <w:rsid w:val="00E3242F"/>
    <w:rsid w:val="00E35D29"/>
    <w:rsid w:val="00E466FC"/>
    <w:rsid w:val="00E50CED"/>
    <w:rsid w:val="00E54957"/>
    <w:rsid w:val="00E5713C"/>
    <w:rsid w:val="00E57AD9"/>
    <w:rsid w:val="00E72A38"/>
    <w:rsid w:val="00E7629F"/>
    <w:rsid w:val="00E91839"/>
    <w:rsid w:val="00E95241"/>
    <w:rsid w:val="00EA3155"/>
    <w:rsid w:val="00EA3633"/>
    <w:rsid w:val="00EA45EC"/>
    <w:rsid w:val="00EA6082"/>
    <w:rsid w:val="00EA62CA"/>
    <w:rsid w:val="00EB5B93"/>
    <w:rsid w:val="00EB60DA"/>
    <w:rsid w:val="00ED5C09"/>
    <w:rsid w:val="00ED7104"/>
    <w:rsid w:val="00EE5F03"/>
    <w:rsid w:val="00EF1124"/>
    <w:rsid w:val="00EF3AA5"/>
    <w:rsid w:val="00EF5E2B"/>
    <w:rsid w:val="00F0117B"/>
    <w:rsid w:val="00F03753"/>
    <w:rsid w:val="00F03769"/>
    <w:rsid w:val="00F07ED9"/>
    <w:rsid w:val="00F13CDB"/>
    <w:rsid w:val="00F5191A"/>
    <w:rsid w:val="00F545E2"/>
    <w:rsid w:val="00F561F9"/>
    <w:rsid w:val="00F64D09"/>
    <w:rsid w:val="00F70363"/>
    <w:rsid w:val="00F72E1A"/>
    <w:rsid w:val="00F73C3A"/>
    <w:rsid w:val="00F80ADA"/>
    <w:rsid w:val="00F9261A"/>
    <w:rsid w:val="00F93198"/>
    <w:rsid w:val="00F95546"/>
    <w:rsid w:val="00F95AF6"/>
    <w:rsid w:val="00F97A65"/>
    <w:rsid w:val="00FA3673"/>
    <w:rsid w:val="00FA4676"/>
    <w:rsid w:val="00FA5798"/>
    <w:rsid w:val="00FB7315"/>
    <w:rsid w:val="00FC32C1"/>
    <w:rsid w:val="00FC6EE5"/>
    <w:rsid w:val="00FD06F2"/>
    <w:rsid w:val="00FF24AE"/>
    <w:rsid w:val="00FF3946"/>
    <w:rsid w:val="00FF4ADD"/>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C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C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C8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47F49"/>
    <w:rPr>
      <w:b/>
      <w:bCs/>
    </w:rPr>
  </w:style>
  <w:style w:type="character" w:customStyle="1" w:styleId="CommentSubjectChar">
    <w:name w:val="Comment Subject Char"/>
    <w:basedOn w:val="CommentTextChar"/>
    <w:link w:val="CommentSubject"/>
    <w:uiPriority w:val="99"/>
    <w:semiHidden/>
    <w:rsid w:val="00B47F49"/>
    <w:rPr>
      <w:b/>
      <w:bCs/>
      <w:sz w:val="20"/>
      <w:szCs w:val="20"/>
    </w:rPr>
  </w:style>
  <w:style w:type="paragraph" w:styleId="FootnoteText">
    <w:name w:val="footnote text"/>
    <w:basedOn w:val="Normal"/>
    <w:link w:val="FootnoteTextChar"/>
    <w:uiPriority w:val="99"/>
    <w:unhideWhenUsed/>
    <w:rsid w:val="00B47F49"/>
    <w:rPr>
      <w:sz w:val="20"/>
      <w:szCs w:val="20"/>
    </w:rPr>
  </w:style>
  <w:style w:type="character" w:customStyle="1" w:styleId="FootnoteTextChar">
    <w:name w:val="Footnote Text Char"/>
    <w:basedOn w:val="DefaultParagraphFont"/>
    <w:link w:val="FootnoteText"/>
    <w:uiPriority w:val="99"/>
    <w:rsid w:val="00B47F49"/>
    <w:rPr>
      <w:sz w:val="20"/>
      <w:szCs w:val="20"/>
    </w:rPr>
  </w:style>
  <w:style w:type="character" w:styleId="FootnoteReference">
    <w:name w:val="footnote reference"/>
    <w:basedOn w:val="DefaultParagraphFont"/>
    <w:uiPriority w:val="99"/>
    <w:unhideWhenUsed/>
    <w:rsid w:val="00B47F49"/>
    <w:rPr>
      <w:vertAlign w:val="superscript"/>
    </w:rPr>
  </w:style>
  <w:style w:type="character" w:styleId="Hyperlink">
    <w:name w:val="Hyperlink"/>
    <w:basedOn w:val="DefaultParagraphFont"/>
    <w:uiPriority w:val="99"/>
    <w:unhideWhenUsed/>
    <w:rsid w:val="00DA32A9"/>
    <w:rPr>
      <w:color w:val="0000FF" w:themeColor="hyperlink"/>
      <w:u w:val="single"/>
    </w:rPr>
  </w:style>
  <w:style w:type="character" w:customStyle="1" w:styleId="UnresolvedMention1">
    <w:name w:val="Unresolved Mention1"/>
    <w:basedOn w:val="DefaultParagraphFont"/>
    <w:uiPriority w:val="99"/>
    <w:semiHidden/>
    <w:unhideWhenUsed/>
    <w:rsid w:val="00DA32A9"/>
    <w:rPr>
      <w:color w:val="605E5C"/>
      <w:shd w:val="clear" w:color="auto" w:fill="E1DFDD"/>
    </w:rPr>
  </w:style>
  <w:style w:type="character" w:styleId="FollowedHyperlink">
    <w:name w:val="FollowedHyperlink"/>
    <w:basedOn w:val="DefaultParagraphFont"/>
    <w:uiPriority w:val="99"/>
    <w:semiHidden/>
    <w:unhideWhenUsed/>
    <w:rsid w:val="007E24B2"/>
    <w:rPr>
      <w:color w:val="800080" w:themeColor="followedHyperlink"/>
      <w:u w:val="single"/>
    </w:rPr>
  </w:style>
  <w:style w:type="paragraph" w:styleId="DocumentMap">
    <w:name w:val="Document Map"/>
    <w:basedOn w:val="Normal"/>
    <w:link w:val="DocumentMapChar"/>
    <w:uiPriority w:val="99"/>
    <w:semiHidden/>
    <w:unhideWhenUsed/>
    <w:rsid w:val="00053C21"/>
    <w:rPr>
      <w:rFonts w:ascii="Times New Roman" w:hAnsi="Times New Roman" w:cs="Times New Roman"/>
    </w:rPr>
  </w:style>
  <w:style w:type="character" w:customStyle="1" w:styleId="DocumentMapChar">
    <w:name w:val="Document Map Char"/>
    <w:basedOn w:val="DefaultParagraphFont"/>
    <w:link w:val="DocumentMap"/>
    <w:uiPriority w:val="99"/>
    <w:semiHidden/>
    <w:rsid w:val="00053C21"/>
    <w:rPr>
      <w:rFonts w:ascii="Times New Roman" w:hAnsi="Times New Roman" w:cs="Times New Roman"/>
    </w:rPr>
  </w:style>
  <w:style w:type="paragraph" w:styleId="Revision">
    <w:name w:val="Revision"/>
    <w:hidden/>
    <w:uiPriority w:val="99"/>
    <w:semiHidden/>
    <w:rsid w:val="00053C21"/>
  </w:style>
  <w:style w:type="paragraph" w:styleId="Header">
    <w:name w:val="header"/>
    <w:basedOn w:val="Normal"/>
    <w:link w:val="HeaderChar"/>
    <w:uiPriority w:val="99"/>
    <w:unhideWhenUsed/>
    <w:rsid w:val="00272124"/>
    <w:pPr>
      <w:tabs>
        <w:tab w:val="center" w:pos="4680"/>
        <w:tab w:val="right" w:pos="9360"/>
      </w:tabs>
    </w:pPr>
  </w:style>
  <w:style w:type="character" w:customStyle="1" w:styleId="HeaderChar">
    <w:name w:val="Header Char"/>
    <w:basedOn w:val="DefaultParagraphFont"/>
    <w:link w:val="Header"/>
    <w:uiPriority w:val="99"/>
    <w:rsid w:val="00272124"/>
  </w:style>
  <w:style w:type="paragraph" w:styleId="Footer">
    <w:name w:val="footer"/>
    <w:basedOn w:val="Normal"/>
    <w:link w:val="FooterChar"/>
    <w:uiPriority w:val="99"/>
    <w:unhideWhenUsed/>
    <w:rsid w:val="00272124"/>
    <w:pPr>
      <w:tabs>
        <w:tab w:val="center" w:pos="4680"/>
        <w:tab w:val="right" w:pos="9360"/>
      </w:tabs>
    </w:pPr>
  </w:style>
  <w:style w:type="character" w:customStyle="1" w:styleId="FooterChar">
    <w:name w:val="Footer Char"/>
    <w:basedOn w:val="DefaultParagraphFont"/>
    <w:link w:val="Footer"/>
    <w:uiPriority w:val="99"/>
    <w:rsid w:val="00272124"/>
  </w:style>
  <w:style w:type="character" w:customStyle="1" w:styleId="UnresolvedMention2">
    <w:name w:val="Unresolved Mention2"/>
    <w:basedOn w:val="DefaultParagraphFont"/>
    <w:uiPriority w:val="99"/>
    <w:rsid w:val="00366BF2"/>
    <w:rPr>
      <w:color w:val="605E5C"/>
      <w:shd w:val="clear" w:color="auto" w:fill="E1DFDD"/>
    </w:rPr>
  </w:style>
  <w:style w:type="paragraph" w:styleId="NormalWeb">
    <w:name w:val="Normal (Web)"/>
    <w:basedOn w:val="Normal"/>
    <w:uiPriority w:val="99"/>
    <w:semiHidden/>
    <w:unhideWhenUsed/>
    <w:rsid w:val="002E2C4A"/>
    <w:pPr>
      <w:spacing w:before="100" w:beforeAutospacing="1" w:after="100" w:afterAutospacing="1"/>
    </w:pPr>
    <w:rPr>
      <w:rFonts w:ascii="Times New Roman" w:eastAsia="Times New Roman" w:hAnsi="Times New Roman" w:cs="Times New Roman"/>
      <w:lang w:val="nl-NL" w:eastAsia="nl-NL"/>
    </w:rPr>
  </w:style>
  <w:style w:type="character" w:styleId="UnresolvedMention">
    <w:name w:val="Unresolved Mention"/>
    <w:basedOn w:val="DefaultParagraphFont"/>
    <w:uiPriority w:val="99"/>
    <w:semiHidden/>
    <w:unhideWhenUsed/>
    <w:rsid w:val="00C01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38027">
      <w:bodyDiv w:val="1"/>
      <w:marLeft w:val="0"/>
      <w:marRight w:val="0"/>
      <w:marTop w:val="0"/>
      <w:marBottom w:val="0"/>
      <w:divBdr>
        <w:top w:val="none" w:sz="0" w:space="0" w:color="auto"/>
        <w:left w:val="none" w:sz="0" w:space="0" w:color="auto"/>
        <w:bottom w:val="none" w:sz="0" w:space="0" w:color="auto"/>
        <w:right w:val="none" w:sz="0" w:space="0" w:color="auto"/>
      </w:divBdr>
      <w:divsChild>
        <w:div w:id="295991555">
          <w:marLeft w:val="0"/>
          <w:marRight w:val="0"/>
          <w:marTop w:val="0"/>
          <w:marBottom w:val="0"/>
          <w:divBdr>
            <w:top w:val="none" w:sz="0" w:space="0" w:color="auto"/>
            <w:left w:val="none" w:sz="0" w:space="0" w:color="auto"/>
            <w:bottom w:val="none" w:sz="0" w:space="0" w:color="auto"/>
            <w:right w:val="none" w:sz="0" w:space="0" w:color="auto"/>
          </w:divBdr>
          <w:divsChild>
            <w:div w:id="591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346">
      <w:bodyDiv w:val="1"/>
      <w:marLeft w:val="0"/>
      <w:marRight w:val="0"/>
      <w:marTop w:val="0"/>
      <w:marBottom w:val="0"/>
      <w:divBdr>
        <w:top w:val="none" w:sz="0" w:space="0" w:color="auto"/>
        <w:left w:val="none" w:sz="0" w:space="0" w:color="auto"/>
        <w:bottom w:val="none" w:sz="0" w:space="0" w:color="auto"/>
        <w:right w:val="none" w:sz="0" w:space="0" w:color="auto"/>
      </w:divBdr>
      <w:divsChild>
        <w:div w:id="565602999">
          <w:marLeft w:val="0"/>
          <w:marRight w:val="0"/>
          <w:marTop w:val="0"/>
          <w:marBottom w:val="0"/>
          <w:divBdr>
            <w:top w:val="none" w:sz="0" w:space="0" w:color="auto"/>
            <w:left w:val="none" w:sz="0" w:space="0" w:color="auto"/>
            <w:bottom w:val="none" w:sz="0" w:space="0" w:color="auto"/>
            <w:right w:val="none" w:sz="0" w:space="0" w:color="auto"/>
          </w:divBdr>
          <w:divsChild>
            <w:div w:id="1954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43">
      <w:bodyDiv w:val="1"/>
      <w:marLeft w:val="0"/>
      <w:marRight w:val="0"/>
      <w:marTop w:val="0"/>
      <w:marBottom w:val="0"/>
      <w:divBdr>
        <w:top w:val="none" w:sz="0" w:space="0" w:color="auto"/>
        <w:left w:val="none" w:sz="0" w:space="0" w:color="auto"/>
        <w:bottom w:val="none" w:sz="0" w:space="0" w:color="auto"/>
        <w:right w:val="none" w:sz="0" w:space="0" w:color="auto"/>
      </w:divBdr>
    </w:div>
    <w:div w:id="833180128">
      <w:bodyDiv w:val="1"/>
      <w:marLeft w:val="0"/>
      <w:marRight w:val="0"/>
      <w:marTop w:val="0"/>
      <w:marBottom w:val="0"/>
      <w:divBdr>
        <w:top w:val="none" w:sz="0" w:space="0" w:color="auto"/>
        <w:left w:val="none" w:sz="0" w:space="0" w:color="auto"/>
        <w:bottom w:val="none" w:sz="0" w:space="0" w:color="auto"/>
        <w:right w:val="none" w:sz="0" w:space="0" w:color="auto"/>
      </w:divBdr>
      <w:divsChild>
        <w:div w:id="335694861">
          <w:marLeft w:val="0"/>
          <w:marRight w:val="0"/>
          <w:marTop w:val="0"/>
          <w:marBottom w:val="0"/>
          <w:divBdr>
            <w:top w:val="none" w:sz="0" w:space="0" w:color="auto"/>
            <w:left w:val="none" w:sz="0" w:space="0" w:color="auto"/>
            <w:bottom w:val="none" w:sz="0" w:space="0" w:color="auto"/>
            <w:right w:val="none" w:sz="0" w:space="0" w:color="auto"/>
          </w:divBdr>
          <w:divsChild>
            <w:div w:id="13394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4899">
      <w:bodyDiv w:val="1"/>
      <w:marLeft w:val="0"/>
      <w:marRight w:val="0"/>
      <w:marTop w:val="0"/>
      <w:marBottom w:val="0"/>
      <w:divBdr>
        <w:top w:val="none" w:sz="0" w:space="0" w:color="auto"/>
        <w:left w:val="none" w:sz="0" w:space="0" w:color="auto"/>
        <w:bottom w:val="none" w:sz="0" w:space="0" w:color="auto"/>
        <w:right w:val="none" w:sz="0" w:space="0" w:color="auto"/>
      </w:divBdr>
    </w:div>
    <w:div w:id="1216968943">
      <w:bodyDiv w:val="1"/>
      <w:marLeft w:val="0"/>
      <w:marRight w:val="0"/>
      <w:marTop w:val="0"/>
      <w:marBottom w:val="0"/>
      <w:divBdr>
        <w:top w:val="none" w:sz="0" w:space="0" w:color="auto"/>
        <w:left w:val="none" w:sz="0" w:space="0" w:color="auto"/>
        <w:bottom w:val="none" w:sz="0" w:space="0" w:color="auto"/>
        <w:right w:val="none" w:sz="0" w:space="0" w:color="auto"/>
      </w:divBdr>
    </w:div>
    <w:div w:id="1665353595">
      <w:bodyDiv w:val="1"/>
      <w:marLeft w:val="0"/>
      <w:marRight w:val="0"/>
      <w:marTop w:val="0"/>
      <w:marBottom w:val="0"/>
      <w:divBdr>
        <w:top w:val="none" w:sz="0" w:space="0" w:color="auto"/>
        <w:left w:val="none" w:sz="0" w:space="0" w:color="auto"/>
        <w:bottom w:val="none" w:sz="0" w:space="0" w:color="auto"/>
        <w:right w:val="none" w:sz="0" w:space="0" w:color="auto"/>
      </w:divBdr>
    </w:div>
    <w:div w:id="1690567736">
      <w:bodyDiv w:val="1"/>
      <w:marLeft w:val="0"/>
      <w:marRight w:val="0"/>
      <w:marTop w:val="0"/>
      <w:marBottom w:val="0"/>
      <w:divBdr>
        <w:top w:val="none" w:sz="0" w:space="0" w:color="auto"/>
        <w:left w:val="none" w:sz="0" w:space="0" w:color="auto"/>
        <w:bottom w:val="none" w:sz="0" w:space="0" w:color="auto"/>
        <w:right w:val="none" w:sz="0" w:space="0" w:color="auto"/>
      </w:divBdr>
    </w:div>
    <w:div w:id="1706367287">
      <w:bodyDiv w:val="1"/>
      <w:marLeft w:val="0"/>
      <w:marRight w:val="0"/>
      <w:marTop w:val="0"/>
      <w:marBottom w:val="0"/>
      <w:divBdr>
        <w:top w:val="none" w:sz="0" w:space="0" w:color="auto"/>
        <w:left w:val="none" w:sz="0" w:space="0" w:color="auto"/>
        <w:bottom w:val="none" w:sz="0" w:space="0" w:color="auto"/>
        <w:right w:val="none" w:sz="0" w:space="0" w:color="auto"/>
      </w:divBdr>
    </w:div>
    <w:div w:id="1816482058">
      <w:bodyDiv w:val="1"/>
      <w:marLeft w:val="0"/>
      <w:marRight w:val="0"/>
      <w:marTop w:val="0"/>
      <w:marBottom w:val="0"/>
      <w:divBdr>
        <w:top w:val="none" w:sz="0" w:space="0" w:color="auto"/>
        <w:left w:val="none" w:sz="0" w:space="0" w:color="auto"/>
        <w:bottom w:val="none" w:sz="0" w:space="0" w:color="auto"/>
        <w:right w:val="none" w:sz="0" w:space="0" w:color="auto"/>
      </w:divBdr>
    </w:div>
    <w:div w:id="198681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Jon11</b:Tag>
    <b:SourceType>JournalArticle</b:SourceType>
    <b:Guid>{1C154735-80DB-114B-9619-574F25B40146}</b:Guid>
    <b:Author>
      <b:Author>
        <b:NameList>
          <b:Person>
            <b:Last>Jones</b:Last>
            <b:First>David</b:First>
            <b:Middle>Albert</b:Middle>
          </b:Person>
        </b:NameList>
      </b:Author>
    </b:Author>
    <b:Title>Is there a logical slippery slope from voluntary to nonvoluntary euthanasia?</b:Title>
    <b:JournalName>Kennedy Institute of Ethics Journal</b:JournalName>
    <b:Year>2011</b:Year>
    <b:Pages>379-404</b:Pages>
    <b:Volume>21</b:Volume>
    <b:Issue>4</b:Issue>
    <b:RefOrder>21</b:RefOrder>
  </b:Source>
  <b:Source>
    <b:Tag>Keo02</b:Tag>
    <b:SourceType>Book</b:SourceType>
    <b:Guid>{BAAFE3A7-7A7A-EB41-BE5E-36F9169E4764}</b:Guid>
    <b:Author>
      <b:Author>
        <b:NameList>
          <b:Person>
            <b:Last>Keown</b:Last>
            <b:First>John</b:First>
          </b:Person>
        </b:NameList>
      </b:Author>
    </b:Author>
    <b:Title>Euthanasia, Ethics and Public Policy: An Argument Against Legalization</b:Title>
    <b:Year>2002</b:Year>
    <b:Publisher>University of Cambridge</b:Publisher>
    <b:RefOrder>19</b:RefOrder>
  </b:Source>
  <b:Source>
    <b:Tag>Kum04</b:Tag>
    <b:SourceType>JournalArticle</b:SourceType>
    <b:Guid>{CECDE1AA-5CF9-124D-86F4-2B7397992F82}</b:Guid>
    <b:Author>
      <b:Author>
        <b:NameList>
          <b:Person>
            <b:Last>Kumar Amarasekara</b:Last>
            <b:First>Mirko</b:First>
            <b:Middle>Bagaric</b:Middle>
          </b:Person>
        </b:NameList>
      </b:Author>
    </b:Author>
    <b:Title>Moving from voluntary euthanasia to non-voluntary euthanasia: equality and compassion</b:Title>
    <b:JournalName>Ratio Juris</b:JournalName>
    <b:Year>2004</b:Year>
    <b:Pages>398-423</b:Pages>
    <b:Volume>17</b:Volume>
    <b:Issue>3</b:Issue>
    <b:RefOrder>23</b:RefOrder>
  </b:Source>
  <b:Source>
    <b:Tag>Sav05</b:Tag>
    <b:SourceType>JournalArticle</b:SourceType>
    <b:Guid>{DEBBE0FC-E406-6F48-BD1E-E974CEE525DC}</b:Guid>
    <b:Title>End-of-life-decisions</b:Title>
    <b:Year>2005</b:Year>
    <b:Author>
      <b:Author>
        <b:NameList>
          <b:Person>
            <b:Last>Savulescu</b:Last>
            <b:First>Julian</b:First>
          </b:Person>
        </b:NameList>
      </b:Author>
    </b:Author>
    <b:JournalName>Medicine</b:JournalName>
    <b:Pages>11-15</b:Pages>
    <b:Volume>33</b:Volume>
    <b:Issue>2</b:Issue>
    <b:RefOrder>20</b:RefOrder>
  </b:Source>
  <b:Source>
    <b:Tag>Lil02</b:Tag>
    <b:SourceType>JournalArticle</b:SourceType>
    <b:Guid>{1E7E2ADF-D945-724B-870A-46B20B43F955}</b:Guid>
    <b:Author>
      <b:Author>
        <b:NameList>
          <b:Person>
            <b:Last>Lillehammer</b:Last>
            <b:First>Hallvard</b:First>
          </b:Person>
        </b:NameList>
      </b:Author>
    </b:Author>
    <b:Title>Voluntary euthanasia and the logical slippery slope argument</b:Title>
    <b:JournalName>Cambridge Law Journal</b:JournalName>
    <b:Year>2002</b:Year>
    <b:Pages>545-550</b:Pages>
    <b:Volume>61</b:Volume>
    <b:Issue>3</b:Issue>
    <b:RefOrder>22</b:RefOrder>
  </b:Source>
</b:Sources>
</file>

<file path=customXml/itemProps1.xml><?xml version="1.0" encoding="utf-8"?>
<ds:datastoreItem xmlns:ds="http://schemas.openxmlformats.org/officeDocument/2006/customXml" ds:itemID="{5A4F9601-828C-6140-AF61-BCE8FF29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11341</Words>
  <Characters>64645</Characters>
  <Application>Microsoft Office Word</Application>
  <DocSecurity>0</DocSecurity>
  <Lines>538</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2020-05-20T17:00:00Z</cp:lastPrinted>
  <dcterms:created xsi:type="dcterms:W3CDTF">2021-09-30T15:56:00Z</dcterms:created>
  <dcterms:modified xsi:type="dcterms:W3CDTF">2021-09-30T15:56:00Z</dcterms:modified>
</cp:coreProperties>
</file>